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79820" w14:textId="092CE11C" w:rsidR="00433930" w:rsidRPr="00C85445" w:rsidRDefault="00433930" w:rsidP="00EA500B">
      <w:pPr>
        <w:pStyle w:val="ColorfulList-Accent11"/>
        <w:tabs>
          <w:tab w:val="left" w:pos="720"/>
        </w:tabs>
        <w:ind w:left="0"/>
        <w:jc w:val="center"/>
        <w:rPr>
          <w:rFonts w:asciiTheme="minorHAnsi" w:hAnsiTheme="minorHAnsi"/>
          <w:b/>
          <w:sz w:val="28"/>
          <w:szCs w:val="28"/>
        </w:rPr>
      </w:pPr>
      <w:r w:rsidRPr="00C85445">
        <w:rPr>
          <w:rFonts w:asciiTheme="minorHAnsi" w:hAnsiTheme="minorHAnsi"/>
          <w:b/>
          <w:sz w:val="28"/>
          <w:szCs w:val="28"/>
        </w:rPr>
        <w:t xml:space="preserve">Technical Advisory Group for </w:t>
      </w:r>
      <w:hyperlink r:id="rId8" w:history="1">
        <w:r w:rsidRPr="00C85445">
          <w:rPr>
            <w:rStyle w:val="Hyperlink"/>
            <w:rFonts w:asciiTheme="minorHAnsi" w:hAnsiTheme="minorHAnsi"/>
            <w:b/>
            <w:sz w:val="28"/>
            <w:szCs w:val="28"/>
          </w:rPr>
          <w:t>RCW 19.405.120</w:t>
        </w:r>
      </w:hyperlink>
      <w:r w:rsidR="00263F04" w:rsidRPr="00C85445">
        <w:rPr>
          <w:rFonts w:asciiTheme="minorHAnsi" w:hAnsiTheme="minorHAnsi"/>
          <w:b/>
          <w:sz w:val="28"/>
          <w:szCs w:val="28"/>
        </w:rPr>
        <w:t xml:space="preserve"> (Sec. 120)</w:t>
      </w:r>
    </w:p>
    <w:p w14:paraId="35E3DD64" w14:textId="77777777" w:rsidR="00433930" w:rsidRPr="00C85445" w:rsidRDefault="00433930" w:rsidP="00EA500B">
      <w:pPr>
        <w:pStyle w:val="ColorfulList-Accent11"/>
        <w:tabs>
          <w:tab w:val="left" w:pos="720"/>
        </w:tabs>
        <w:ind w:left="0"/>
        <w:rPr>
          <w:rFonts w:asciiTheme="minorHAnsi" w:hAnsiTheme="minorHAnsi"/>
          <w:b/>
        </w:rPr>
      </w:pPr>
    </w:p>
    <w:p w14:paraId="3BFCC8AC" w14:textId="0E68EA72" w:rsidR="00C85445" w:rsidRPr="00C85445" w:rsidRDefault="001D3367" w:rsidP="00EA500B">
      <w:pPr>
        <w:pStyle w:val="ColorfulList-Accent11"/>
        <w:tabs>
          <w:tab w:val="left" w:pos="720"/>
        </w:tabs>
        <w:ind w:left="0"/>
        <w:rPr>
          <w:rFonts w:asciiTheme="minorHAnsi" w:hAnsiTheme="minorHAnsi"/>
          <w:b/>
        </w:rPr>
      </w:pPr>
      <w:r w:rsidRPr="00C85445">
        <w:rPr>
          <w:rFonts w:asciiTheme="minorHAnsi" w:hAnsiTheme="minorHAnsi"/>
          <w:b/>
        </w:rPr>
        <w:t>Background</w:t>
      </w:r>
    </w:p>
    <w:p w14:paraId="026E36BA" w14:textId="64B3F78B" w:rsidR="001D3367" w:rsidRPr="00C85445" w:rsidRDefault="001D3367" w:rsidP="00EA500B">
      <w:pPr>
        <w:pStyle w:val="ColorfulList-Accent11"/>
        <w:tabs>
          <w:tab w:val="left" w:pos="720"/>
        </w:tabs>
        <w:ind w:left="0"/>
        <w:rPr>
          <w:rFonts w:asciiTheme="minorHAnsi" w:hAnsiTheme="minorHAnsi"/>
        </w:rPr>
      </w:pPr>
      <w:r w:rsidRPr="00C85445">
        <w:rPr>
          <w:rFonts w:asciiTheme="minorHAnsi" w:hAnsiTheme="minorHAnsi"/>
        </w:rPr>
        <w:t xml:space="preserve">Washington’s 100% clean electricity standard, the Clean Energy Transformation Act </w:t>
      </w:r>
      <w:r w:rsidR="00EC1B76" w:rsidRPr="00C85445">
        <w:rPr>
          <w:rFonts w:asciiTheme="minorHAnsi" w:hAnsiTheme="minorHAnsi"/>
        </w:rPr>
        <w:t>(</w:t>
      </w:r>
      <w:hyperlink r:id="rId9" w:history="1">
        <w:r w:rsidR="00EC1B76" w:rsidRPr="00C85445">
          <w:rPr>
            <w:rStyle w:val="Hyperlink"/>
            <w:rFonts w:asciiTheme="minorHAnsi" w:hAnsiTheme="minorHAnsi"/>
          </w:rPr>
          <w:t>SB 5166</w:t>
        </w:r>
        <w:r w:rsidRPr="00C85445">
          <w:rPr>
            <w:rStyle w:val="Hyperlink"/>
            <w:rFonts w:asciiTheme="minorHAnsi" w:hAnsiTheme="minorHAnsi"/>
          </w:rPr>
          <w:t>, 2019</w:t>
        </w:r>
      </w:hyperlink>
      <w:r w:rsidRPr="00C85445">
        <w:rPr>
          <w:rFonts w:asciiTheme="minorHAnsi" w:hAnsiTheme="minorHAnsi"/>
        </w:rPr>
        <w:t>)</w:t>
      </w:r>
      <w:r w:rsidR="00263F04" w:rsidRPr="00C85445">
        <w:rPr>
          <w:rFonts w:asciiTheme="minorHAnsi" w:hAnsiTheme="minorHAnsi"/>
        </w:rPr>
        <w:t>,</w:t>
      </w:r>
      <w:r w:rsidRPr="00C85445">
        <w:rPr>
          <w:rFonts w:asciiTheme="minorHAnsi" w:hAnsiTheme="minorHAnsi"/>
        </w:rPr>
        <w:t xml:space="preserve"> </w:t>
      </w:r>
      <w:r w:rsidR="00AF3B0B" w:rsidRPr="00C85445">
        <w:rPr>
          <w:rFonts w:asciiTheme="minorHAnsi" w:hAnsiTheme="minorHAnsi"/>
        </w:rPr>
        <w:t>enshrines four principle values into Washington e</w:t>
      </w:r>
      <w:bookmarkStart w:id="0" w:name="_GoBack"/>
      <w:bookmarkEnd w:id="0"/>
      <w:r w:rsidR="00AF3B0B" w:rsidRPr="00C85445">
        <w:rPr>
          <w:rFonts w:asciiTheme="minorHAnsi" w:hAnsiTheme="minorHAnsi"/>
        </w:rPr>
        <w:t>lectricity policy. These fo</w:t>
      </w:r>
      <w:r w:rsidR="00CF3731">
        <w:rPr>
          <w:rFonts w:asciiTheme="minorHAnsi" w:hAnsiTheme="minorHAnsi"/>
        </w:rPr>
        <w:t>ur principles are best captured</w:t>
      </w:r>
      <w:r w:rsidR="00AF3B0B" w:rsidRPr="00C85445">
        <w:rPr>
          <w:rFonts w:asciiTheme="minorHAnsi" w:hAnsiTheme="minorHAnsi"/>
        </w:rPr>
        <w:t xml:space="preserve"> </w:t>
      </w:r>
      <w:r w:rsidR="00CF3731">
        <w:rPr>
          <w:rFonts w:asciiTheme="minorHAnsi" w:hAnsiTheme="minorHAnsi"/>
        </w:rPr>
        <w:t>by</w:t>
      </w:r>
      <w:r w:rsidR="00AF3B0B" w:rsidRPr="00C85445">
        <w:rPr>
          <w:rFonts w:asciiTheme="minorHAnsi" w:hAnsiTheme="minorHAnsi"/>
        </w:rPr>
        <w:t xml:space="preserve"> the acronym: </w:t>
      </w:r>
    </w:p>
    <w:p w14:paraId="59363D7A" w14:textId="77777777" w:rsidR="00AF3B0B" w:rsidRPr="00C85445" w:rsidRDefault="00AF3B0B" w:rsidP="00EA500B">
      <w:pPr>
        <w:pStyle w:val="ColorfulList-Accent11"/>
        <w:tabs>
          <w:tab w:val="left" w:pos="720"/>
        </w:tabs>
        <w:ind w:left="0"/>
        <w:rPr>
          <w:rFonts w:asciiTheme="minorHAnsi" w:hAnsiTheme="minorHAnsi"/>
        </w:rPr>
      </w:pPr>
    </w:p>
    <w:p w14:paraId="10E15C14" w14:textId="77777777" w:rsidR="00AF3B0B" w:rsidRPr="00C85445" w:rsidRDefault="00AF3B0B" w:rsidP="00AF3B0B">
      <w:pPr>
        <w:pStyle w:val="ColorfulList-Accent11"/>
        <w:tabs>
          <w:tab w:val="left" w:pos="720"/>
        </w:tabs>
        <w:ind w:left="0"/>
        <w:jc w:val="center"/>
        <w:rPr>
          <w:rFonts w:asciiTheme="minorHAnsi" w:hAnsiTheme="minorHAnsi"/>
        </w:rPr>
      </w:pPr>
      <w:r w:rsidRPr="00C85445">
        <w:rPr>
          <w:rFonts w:asciiTheme="minorHAnsi" w:hAnsiTheme="minorHAnsi"/>
        </w:rPr>
        <w:t>CARE: Clean, affordable, reliable, equitable</w:t>
      </w:r>
    </w:p>
    <w:p w14:paraId="30963765" w14:textId="77777777" w:rsidR="001D3367" w:rsidRPr="00C85445" w:rsidRDefault="001D3367" w:rsidP="00EA500B">
      <w:pPr>
        <w:pStyle w:val="ColorfulList-Accent11"/>
        <w:tabs>
          <w:tab w:val="left" w:pos="720"/>
        </w:tabs>
        <w:ind w:left="0"/>
        <w:rPr>
          <w:rFonts w:asciiTheme="minorHAnsi" w:hAnsiTheme="minorHAnsi"/>
          <w:b/>
        </w:rPr>
      </w:pPr>
    </w:p>
    <w:p w14:paraId="12A3247D" w14:textId="65CA5EBF" w:rsidR="00EF42E0" w:rsidRDefault="00AF3B0B" w:rsidP="00EA500B">
      <w:pPr>
        <w:pStyle w:val="ColorfulList-Accent11"/>
        <w:tabs>
          <w:tab w:val="left" w:pos="720"/>
        </w:tabs>
        <w:ind w:left="0"/>
        <w:rPr>
          <w:rFonts w:asciiTheme="minorHAnsi" w:hAnsiTheme="minorHAnsi"/>
        </w:rPr>
      </w:pPr>
      <w:r w:rsidRPr="00C85445">
        <w:rPr>
          <w:rFonts w:asciiTheme="minorHAnsi" w:hAnsiTheme="minorHAnsi"/>
        </w:rPr>
        <w:t>A key comp</w:t>
      </w:r>
      <w:r w:rsidR="001E6E2B" w:rsidRPr="00C85445">
        <w:rPr>
          <w:rFonts w:asciiTheme="minorHAnsi" w:hAnsiTheme="minorHAnsi"/>
        </w:rPr>
        <w:t>onent of the</w:t>
      </w:r>
      <w:r w:rsidR="009407CA" w:rsidRPr="00C85445">
        <w:rPr>
          <w:rFonts w:asciiTheme="minorHAnsi" w:hAnsiTheme="minorHAnsi"/>
        </w:rPr>
        <w:t xml:space="preserve"> second and</w:t>
      </w:r>
      <w:r w:rsidR="001E6E2B" w:rsidRPr="00C85445">
        <w:rPr>
          <w:rFonts w:asciiTheme="minorHAnsi" w:hAnsiTheme="minorHAnsi"/>
        </w:rPr>
        <w:t xml:space="preserve"> last letter of the</w:t>
      </w:r>
      <w:r w:rsidR="00B5530E">
        <w:rPr>
          <w:rFonts w:asciiTheme="minorHAnsi" w:hAnsiTheme="minorHAnsi"/>
        </w:rPr>
        <w:t xml:space="preserve"> acronym, i.e.</w:t>
      </w:r>
      <w:r w:rsidR="009407CA" w:rsidRPr="00C85445">
        <w:rPr>
          <w:rFonts w:asciiTheme="minorHAnsi" w:hAnsiTheme="minorHAnsi"/>
        </w:rPr>
        <w:t xml:space="preserve"> “affordable”</w:t>
      </w:r>
      <w:r w:rsidR="00B5530E">
        <w:rPr>
          <w:rFonts w:asciiTheme="minorHAnsi" w:hAnsiTheme="minorHAnsi"/>
        </w:rPr>
        <w:t xml:space="preserve"> and “equitable,”</w:t>
      </w:r>
      <w:r w:rsidR="00CD1074" w:rsidRPr="00C85445">
        <w:rPr>
          <w:rFonts w:asciiTheme="minorHAnsi" w:hAnsiTheme="minorHAnsi"/>
        </w:rPr>
        <w:t xml:space="preserve"> is Sec. 120</w:t>
      </w:r>
      <w:r w:rsidRPr="00C85445">
        <w:rPr>
          <w:rFonts w:asciiTheme="minorHAnsi" w:hAnsiTheme="minorHAnsi"/>
        </w:rPr>
        <w:t xml:space="preserve">. </w:t>
      </w:r>
      <w:r w:rsidR="00EC1B76" w:rsidRPr="00C85445">
        <w:rPr>
          <w:rFonts w:asciiTheme="minorHAnsi" w:hAnsiTheme="minorHAnsi"/>
        </w:rPr>
        <w:t>This section</w:t>
      </w:r>
      <w:r w:rsidRPr="00C85445">
        <w:rPr>
          <w:rFonts w:asciiTheme="minorHAnsi" w:hAnsiTheme="minorHAnsi"/>
        </w:rPr>
        <w:t xml:space="preserve"> requires </w:t>
      </w:r>
      <w:r w:rsidR="009407CA" w:rsidRPr="00C85445">
        <w:rPr>
          <w:rFonts w:asciiTheme="minorHAnsi" w:hAnsiTheme="minorHAnsi"/>
        </w:rPr>
        <w:t xml:space="preserve">electric </w:t>
      </w:r>
      <w:r w:rsidR="00EF42E0">
        <w:rPr>
          <w:rFonts w:asciiTheme="minorHAnsi" w:hAnsiTheme="minorHAnsi"/>
        </w:rPr>
        <w:t xml:space="preserve">utilities to make programs and funding </w:t>
      </w:r>
      <w:r w:rsidRPr="00C85445">
        <w:rPr>
          <w:rFonts w:asciiTheme="minorHAnsi" w:hAnsiTheme="minorHAnsi"/>
        </w:rPr>
        <w:t xml:space="preserve">available to low-income households and </w:t>
      </w:r>
      <w:r w:rsidR="001E6E2B" w:rsidRPr="00C85445">
        <w:rPr>
          <w:rFonts w:asciiTheme="minorHAnsi" w:hAnsiTheme="minorHAnsi"/>
        </w:rPr>
        <w:t>demonstrate progress towards providing energ</w:t>
      </w:r>
      <w:r w:rsidR="00591A7D" w:rsidRPr="00C85445">
        <w:rPr>
          <w:rFonts w:asciiTheme="minorHAnsi" w:hAnsiTheme="minorHAnsi"/>
        </w:rPr>
        <w:t>y assistance to the</w:t>
      </w:r>
      <w:r w:rsidR="009407CA" w:rsidRPr="00C85445">
        <w:rPr>
          <w:rFonts w:asciiTheme="minorHAnsi" w:hAnsiTheme="minorHAnsi"/>
        </w:rPr>
        <w:t>se households</w:t>
      </w:r>
      <w:r w:rsidR="00591A7D" w:rsidRPr="00C85445">
        <w:rPr>
          <w:rFonts w:asciiTheme="minorHAnsi" w:hAnsiTheme="minorHAnsi"/>
        </w:rPr>
        <w:t>.</w:t>
      </w:r>
    </w:p>
    <w:p w14:paraId="1081E5AA" w14:textId="77777777" w:rsidR="00EF42E0" w:rsidRDefault="00EF42E0" w:rsidP="00EA500B">
      <w:pPr>
        <w:pStyle w:val="ColorfulList-Accent11"/>
        <w:tabs>
          <w:tab w:val="left" w:pos="720"/>
        </w:tabs>
        <w:ind w:left="0"/>
        <w:rPr>
          <w:rFonts w:asciiTheme="minorHAnsi" w:hAnsiTheme="minorHAnsi"/>
        </w:rPr>
      </w:pPr>
    </w:p>
    <w:p w14:paraId="0BB80095" w14:textId="77777777" w:rsidR="00EF42E0" w:rsidRDefault="00EC1B76" w:rsidP="00EA500B">
      <w:pPr>
        <w:pStyle w:val="ColorfulList-Accent11"/>
        <w:tabs>
          <w:tab w:val="left" w:pos="720"/>
        </w:tabs>
        <w:ind w:left="0"/>
        <w:rPr>
          <w:rFonts w:asciiTheme="minorHAnsi" w:hAnsiTheme="minorHAnsi"/>
        </w:rPr>
      </w:pPr>
      <w:r w:rsidRPr="00C85445">
        <w:rPr>
          <w:rFonts w:asciiTheme="minorHAnsi" w:hAnsiTheme="minorHAnsi"/>
        </w:rPr>
        <w:t>Utilities are required to</w:t>
      </w:r>
      <w:r w:rsidR="00AF3B0B" w:rsidRPr="00C85445">
        <w:rPr>
          <w:rFonts w:asciiTheme="minorHAnsi" w:hAnsiTheme="minorHAnsi"/>
        </w:rPr>
        <w:t xml:space="preserve"> submit</w:t>
      </w:r>
      <w:r w:rsidR="009407CA" w:rsidRPr="00C85445">
        <w:rPr>
          <w:rFonts w:asciiTheme="minorHAnsi" w:hAnsiTheme="minorHAnsi"/>
        </w:rPr>
        <w:t xml:space="preserve"> program</w:t>
      </w:r>
      <w:r w:rsidR="00AF3B0B" w:rsidRPr="00C85445">
        <w:rPr>
          <w:rFonts w:asciiTheme="minorHAnsi" w:hAnsiTheme="minorHAnsi"/>
        </w:rPr>
        <w:t xml:space="preserve"> data</w:t>
      </w:r>
      <w:r w:rsidR="009407CA" w:rsidRPr="00C85445">
        <w:rPr>
          <w:rFonts w:asciiTheme="minorHAnsi" w:hAnsiTheme="minorHAnsi"/>
        </w:rPr>
        <w:t xml:space="preserve"> and assessments</w:t>
      </w:r>
      <w:r w:rsidR="00AF3B0B" w:rsidRPr="00C85445">
        <w:rPr>
          <w:rFonts w:asciiTheme="minorHAnsi" w:hAnsiTheme="minorHAnsi"/>
        </w:rPr>
        <w:t xml:space="preserve"> to Commer</w:t>
      </w:r>
      <w:r w:rsidR="009407CA" w:rsidRPr="00C85445">
        <w:rPr>
          <w:rFonts w:asciiTheme="minorHAnsi" w:hAnsiTheme="minorHAnsi"/>
        </w:rPr>
        <w:t>ce</w:t>
      </w:r>
      <w:r w:rsidR="00AF3B0B" w:rsidRPr="00C85445">
        <w:rPr>
          <w:rFonts w:asciiTheme="minorHAnsi" w:hAnsiTheme="minorHAnsi"/>
        </w:rPr>
        <w:t xml:space="preserve">. </w:t>
      </w:r>
      <w:r w:rsidRPr="00C85445">
        <w:rPr>
          <w:rFonts w:asciiTheme="minorHAnsi" w:hAnsiTheme="minorHAnsi"/>
        </w:rPr>
        <w:t xml:space="preserve">Commerce </w:t>
      </w:r>
      <w:r w:rsidR="00CD1074" w:rsidRPr="00C85445">
        <w:rPr>
          <w:rFonts w:asciiTheme="minorHAnsi" w:hAnsiTheme="minorHAnsi"/>
        </w:rPr>
        <w:t xml:space="preserve">is required to collect additional data </w:t>
      </w:r>
      <w:r w:rsidR="00BC73A7">
        <w:rPr>
          <w:rFonts w:asciiTheme="minorHAnsi" w:hAnsiTheme="minorHAnsi"/>
        </w:rPr>
        <w:t>and</w:t>
      </w:r>
      <w:r w:rsidR="00AF3B0B" w:rsidRPr="00C85445">
        <w:rPr>
          <w:rFonts w:asciiTheme="minorHAnsi" w:hAnsiTheme="minorHAnsi"/>
        </w:rPr>
        <w:t xml:space="preserve"> submit a biennial report to t</w:t>
      </w:r>
      <w:r w:rsidR="00BC73A7">
        <w:rPr>
          <w:rFonts w:asciiTheme="minorHAnsi" w:hAnsiTheme="minorHAnsi"/>
        </w:rPr>
        <w:t>he Legislature, providing a statewide summary of</w:t>
      </w:r>
      <w:r w:rsidRPr="00C85445">
        <w:rPr>
          <w:rFonts w:asciiTheme="minorHAnsi" w:hAnsiTheme="minorHAnsi"/>
        </w:rPr>
        <w:t xml:space="preserve"> </w:t>
      </w:r>
      <w:r w:rsidR="00BC73A7">
        <w:rPr>
          <w:rFonts w:asciiTheme="minorHAnsi" w:hAnsiTheme="minorHAnsi"/>
        </w:rPr>
        <w:t>utility data and assessments,</w:t>
      </w:r>
      <w:r w:rsidR="00AF3B0B" w:rsidRPr="00C85445">
        <w:rPr>
          <w:rFonts w:asciiTheme="minorHAnsi" w:hAnsiTheme="minorHAnsi"/>
        </w:rPr>
        <w:t xml:space="preserve"> and evaluating the effectiveness of additional measures to improve assistance.</w:t>
      </w:r>
    </w:p>
    <w:p w14:paraId="362BADCD" w14:textId="77777777" w:rsidR="00EF42E0" w:rsidRDefault="00EF42E0" w:rsidP="00EA500B">
      <w:pPr>
        <w:pStyle w:val="ColorfulList-Accent11"/>
        <w:tabs>
          <w:tab w:val="left" w:pos="720"/>
        </w:tabs>
        <w:ind w:left="0"/>
        <w:rPr>
          <w:rFonts w:asciiTheme="minorHAnsi" w:hAnsiTheme="minorHAnsi"/>
        </w:rPr>
      </w:pPr>
    </w:p>
    <w:p w14:paraId="0DD7E627" w14:textId="47F0B806" w:rsidR="00AF3B0B" w:rsidRPr="00C85445" w:rsidRDefault="00CD1074" w:rsidP="00EA500B">
      <w:pPr>
        <w:pStyle w:val="ColorfulList-Accent11"/>
        <w:tabs>
          <w:tab w:val="left" w:pos="720"/>
        </w:tabs>
        <w:ind w:left="0"/>
        <w:rPr>
          <w:rFonts w:asciiTheme="minorHAnsi" w:hAnsiTheme="minorHAnsi"/>
        </w:rPr>
      </w:pPr>
      <w:r w:rsidRPr="00C85445">
        <w:rPr>
          <w:rFonts w:asciiTheme="minorHAnsi" w:hAnsiTheme="minorHAnsi"/>
        </w:rPr>
        <w:t xml:space="preserve">Commerce’s first report was published in </w:t>
      </w:r>
      <w:r w:rsidR="00B527A4">
        <w:rPr>
          <w:rFonts w:asciiTheme="minorHAnsi" w:hAnsiTheme="minorHAnsi"/>
        </w:rPr>
        <w:t xml:space="preserve">March of 2023. It </w:t>
      </w:r>
      <w:r w:rsidRPr="00C85445">
        <w:rPr>
          <w:rFonts w:asciiTheme="minorHAnsi" w:hAnsiTheme="minorHAnsi"/>
        </w:rPr>
        <w:t xml:space="preserve">is </w:t>
      </w:r>
      <w:hyperlink r:id="rId10" w:history="1">
        <w:r w:rsidRPr="00C85445">
          <w:rPr>
            <w:rStyle w:val="Hyperlink"/>
            <w:rFonts w:asciiTheme="minorHAnsi" w:hAnsiTheme="minorHAnsi"/>
          </w:rPr>
          <w:t>available here</w:t>
        </w:r>
      </w:hyperlink>
      <w:r w:rsidRPr="00C85445">
        <w:rPr>
          <w:rFonts w:asciiTheme="minorHAnsi" w:hAnsiTheme="minorHAnsi"/>
        </w:rPr>
        <w:t>.</w:t>
      </w:r>
      <w:r w:rsidR="009722A6" w:rsidRPr="00C85445">
        <w:rPr>
          <w:rFonts w:asciiTheme="minorHAnsi" w:hAnsiTheme="minorHAnsi"/>
        </w:rPr>
        <w:t xml:space="preserve"> Commerce </w:t>
      </w:r>
      <w:r w:rsidR="009407CA" w:rsidRPr="00C85445">
        <w:rPr>
          <w:rFonts w:asciiTheme="minorHAnsi" w:hAnsiTheme="minorHAnsi"/>
        </w:rPr>
        <w:t>will</w:t>
      </w:r>
      <w:r w:rsidR="001E6E2B" w:rsidRPr="00C85445">
        <w:rPr>
          <w:rFonts w:asciiTheme="minorHAnsi" w:hAnsiTheme="minorHAnsi"/>
        </w:rPr>
        <w:t xml:space="preserve"> submit </w:t>
      </w:r>
      <w:r w:rsidR="009407CA" w:rsidRPr="00C85445">
        <w:rPr>
          <w:rFonts w:asciiTheme="minorHAnsi" w:hAnsiTheme="minorHAnsi"/>
        </w:rPr>
        <w:t>its next</w:t>
      </w:r>
      <w:r w:rsidR="001E6E2B" w:rsidRPr="00C85445">
        <w:rPr>
          <w:rFonts w:asciiTheme="minorHAnsi" w:hAnsiTheme="minorHAnsi"/>
        </w:rPr>
        <w:t xml:space="preserve"> report to the Legislature </w:t>
      </w:r>
      <w:r w:rsidR="009407CA" w:rsidRPr="00C85445">
        <w:rPr>
          <w:rFonts w:asciiTheme="minorHAnsi" w:hAnsiTheme="minorHAnsi"/>
        </w:rPr>
        <w:t>by Jan. 1, 2025.</w:t>
      </w:r>
    </w:p>
    <w:p w14:paraId="2EA50C15" w14:textId="77777777" w:rsidR="00AF3B0B" w:rsidRPr="00C85445" w:rsidRDefault="00AF3B0B" w:rsidP="00EA500B">
      <w:pPr>
        <w:pStyle w:val="ColorfulList-Accent11"/>
        <w:tabs>
          <w:tab w:val="left" w:pos="720"/>
        </w:tabs>
        <w:ind w:left="0"/>
        <w:rPr>
          <w:rFonts w:asciiTheme="minorHAnsi" w:hAnsiTheme="minorHAnsi"/>
          <w:b/>
        </w:rPr>
      </w:pPr>
    </w:p>
    <w:p w14:paraId="3CB6A237" w14:textId="734ED8F5" w:rsidR="006F6CF7" w:rsidRPr="00C85445" w:rsidRDefault="00433930" w:rsidP="00C85445">
      <w:pPr>
        <w:pStyle w:val="ColorfulList-Accent11"/>
        <w:tabs>
          <w:tab w:val="left" w:pos="720"/>
        </w:tabs>
        <w:ind w:left="0"/>
        <w:rPr>
          <w:rFonts w:asciiTheme="minorHAnsi" w:hAnsiTheme="minorHAnsi"/>
          <w:b/>
        </w:rPr>
      </w:pPr>
      <w:r w:rsidRPr="00C85445">
        <w:rPr>
          <w:rFonts w:asciiTheme="minorHAnsi" w:hAnsiTheme="minorHAnsi"/>
          <w:b/>
        </w:rPr>
        <w:t>Purpose</w:t>
      </w:r>
    </w:p>
    <w:p w14:paraId="4579EF1F" w14:textId="47897478" w:rsidR="00E76219" w:rsidRDefault="00433930" w:rsidP="00642C0C">
      <w:pPr>
        <w:numPr>
          <w:ilvl w:val="12"/>
          <w:numId w:val="0"/>
        </w:numPr>
        <w:spacing w:after="0" w:line="240" w:lineRule="auto"/>
        <w:rPr>
          <w:rFonts w:cs="Times New Roman"/>
          <w:sz w:val="24"/>
          <w:szCs w:val="24"/>
        </w:rPr>
      </w:pPr>
      <w:r w:rsidRPr="00C85445">
        <w:rPr>
          <w:rFonts w:cs="Times New Roman"/>
          <w:sz w:val="24"/>
          <w:szCs w:val="24"/>
        </w:rPr>
        <w:t xml:space="preserve">The </w:t>
      </w:r>
      <w:r w:rsidR="001D3367" w:rsidRPr="00C85445">
        <w:rPr>
          <w:rFonts w:cs="Times New Roman"/>
          <w:sz w:val="24"/>
          <w:szCs w:val="24"/>
        </w:rPr>
        <w:t>technical advisory group</w:t>
      </w:r>
      <w:r w:rsidRPr="00C85445">
        <w:rPr>
          <w:rFonts w:cs="Times New Roman"/>
          <w:sz w:val="24"/>
          <w:szCs w:val="24"/>
        </w:rPr>
        <w:t xml:space="preserve"> </w:t>
      </w:r>
      <w:r w:rsidR="00642C0C" w:rsidRPr="00C85445">
        <w:rPr>
          <w:rFonts w:cs="Times New Roman"/>
          <w:sz w:val="24"/>
          <w:szCs w:val="24"/>
        </w:rPr>
        <w:t>p</w:t>
      </w:r>
      <w:r w:rsidRPr="00C85445">
        <w:rPr>
          <w:rFonts w:cs="Times New Roman"/>
          <w:sz w:val="24"/>
          <w:szCs w:val="24"/>
        </w:rPr>
        <w:t>rovides</w:t>
      </w:r>
      <w:r w:rsidR="009407CA" w:rsidRPr="00C85445">
        <w:rPr>
          <w:rFonts w:cs="Times New Roman"/>
          <w:sz w:val="24"/>
          <w:szCs w:val="24"/>
        </w:rPr>
        <w:t xml:space="preserve"> programmatic</w:t>
      </w:r>
      <w:r w:rsidRPr="00C85445">
        <w:rPr>
          <w:rFonts w:cs="Times New Roman"/>
          <w:sz w:val="24"/>
          <w:szCs w:val="24"/>
        </w:rPr>
        <w:t xml:space="preserve"> leadership and guidance</w:t>
      </w:r>
      <w:r w:rsidR="00EC1B76" w:rsidRPr="00C85445">
        <w:rPr>
          <w:rFonts w:cs="Times New Roman"/>
          <w:sz w:val="24"/>
          <w:szCs w:val="24"/>
        </w:rPr>
        <w:t xml:space="preserve"> to Commerce</w:t>
      </w:r>
      <w:r w:rsidR="001D3367" w:rsidRPr="00C85445">
        <w:rPr>
          <w:rFonts w:cs="Times New Roman"/>
          <w:sz w:val="24"/>
          <w:szCs w:val="24"/>
        </w:rPr>
        <w:t xml:space="preserve"> in the implementation </w:t>
      </w:r>
      <w:r w:rsidR="00CD1074" w:rsidRPr="00C85445">
        <w:rPr>
          <w:rFonts w:cs="Times New Roman"/>
          <w:sz w:val="24"/>
          <w:szCs w:val="24"/>
        </w:rPr>
        <w:t xml:space="preserve">of Sec. 120. </w:t>
      </w:r>
      <w:r w:rsidR="00642C0C" w:rsidRPr="00C85445">
        <w:rPr>
          <w:rFonts w:cs="Times New Roman"/>
          <w:sz w:val="24"/>
          <w:szCs w:val="24"/>
        </w:rPr>
        <w:t>This includes providing constructive input on data collection</w:t>
      </w:r>
      <w:r w:rsidR="009407CA" w:rsidRPr="00C85445">
        <w:rPr>
          <w:rFonts w:cs="Times New Roman"/>
          <w:sz w:val="24"/>
          <w:szCs w:val="24"/>
        </w:rPr>
        <w:t xml:space="preserve"> during odd numbered years</w:t>
      </w:r>
      <w:r w:rsidR="00642C0C" w:rsidRPr="00C85445">
        <w:rPr>
          <w:rFonts w:cs="Times New Roman"/>
          <w:sz w:val="24"/>
          <w:szCs w:val="24"/>
        </w:rPr>
        <w:t>,</w:t>
      </w:r>
      <w:r w:rsidR="00CD1074" w:rsidRPr="00C85445">
        <w:rPr>
          <w:rFonts w:cs="Times New Roman"/>
          <w:sz w:val="24"/>
          <w:szCs w:val="24"/>
        </w:rPr>
        <w:t xml:space="preserve"> such as </w:t>
      </w:r>
      <w:r w:rsidR="00C85445">
        <w:rPr>
          <w:rFonts w:cs="Times New Roman"/>
          <w:sz w:val="24"/>
          <w:szCs w:val="24"/>
        </w:rPr>
        <w:t>2023</w:t>
      </w:r>
      <w:r w:rsidR="00CD1074" w:rsidRPr="00C85445">
        <w:rPr>
          <w:rFonts w:cs="Times New Roman"/>
          <w:sz w:val="24"/>
          <w:szCs w:val="24"/>
        </w:rPr>
        <w:t>,</w:t>
      </w:r>
      <w:r w:rsidR="009407CA" w:rsidRPr="00C85445">
        <w:rPr>
          <w:rFonts w:cs="Times New Roman"/>
          <w:sz w:val="24"/>
          <w:szCs w:val="24"/>
        </w:rPr>
        <w:t xml:space="preserve"> and </w:t>
      </w:r>
      <w:r w:rsidR="00CD1074" w:rsidRPr="00C85445">
        <w:rPr>
          <w:rFonts w:cs="Times New Roman"/>
          <w:sz w:val="24"/>
          <w:szCs w:val="24"/>
        </w:rPr>
        <w:t xml:space="preserve">on </w:t>
      </w:r>
      <w:r w:rsidR="009407CA" w:rsidRPr="00C85445">
        <w:rPr>
          <w:rFonts w:cs="Times New Roman"/>
          <w:sz w:val="24"/>
          <w:szCs w:val="24"/>
        </w:rPr>
        <w:t>data</w:t>
      </w:r>
      <w:r w:rsidR="00642C0C" w:rsidRPr="00C85445">
        <w:rPr>
          <w:rFonts w:cs="Times New Roman"/>
          <w:sz w:val="24"/>
          <w:szCs w:val="24"/>
        </w:rPr>
        <w:t xml:space="preserve"> aggregation and </w:t>
      </w:r>
      <w:r w:rsidR="00EF42E0">
        <w:rPr>
          <w:rFonts w:cs="Times New Roman"/>
          <w:sz w:val="24"/>
          <w:szCs w:val="24"/>
        </w:rPr>
        <w:t xml:space="preserve">data </w:t>
      </w:r>
      <w:r w:rsidR="00642C0C" w:rsidRPr="00C85445">
        <w:rPr>
          <w:rFonts w:cs="Times New Roman"/>
          <w:sz w:val="24"/>
          <w:szCs w:val="24"/>
        </w:rPr>
        <w:t xml:space="preserve">analysis </w:t>
      </w:r>
      <w:r w:rsidR="009407CA" w:rsidRPr="00C85445">
        <w:rPr>
          <w:rFonts w:cs="Times New Roman"/>
          <w:sz w:val="24"/>
          <w:szCs w:val="24"/>
        </w:rPr>
        <w:t xml:space="preserve">in even </w:t>
      </w:r>
      <w:r w:rsidR="00CD1074" w:rsidRPr="00C85445">
        <w:rPr>
          <w:rFonts w:cs="Times New Roman"/>
          <w:sz w:val="24"/>
          <w:szCs w:val="24"/>
        </w:rPr>
        <w:t xml:space="preserve">numbered </w:t>
      </w:r>
      <w:r w:rsidR="009407CA" w:rsidRPr="00C85445">
        <w:rPr>
          <w:rFonts w:cs="Times New Roman"/>
          <w:sz w:val="24"/>
          <w:szCs w:val="24"/>
        </w:rPr>
        <w:t>years</w:t>
      </w:r>
      <w:r w:rsidR="00CD1074" w:rsidRPr="00C85445">
        <w:rPr>
          <w:rFonts w:cs="Times New Roman"/>
          <w:sz w:val="24"/>
          <w:szCs w:val="24"/>
        </w:rPr>
        <w:t>, such as 2022 and 2024</w:t>
      </w:r>
      <w:r w:rsidR="009407CA" w:rsidRPr="00C85445">
        <w:rPr>
          <w:rFonts w:cs="Times New Roman"/>
          <w:sz w:val="24"/>
          <w:szCs w:val="24"/>
        </w:rPr>
        <w:t>.</w:t>
      </w:r>
      <w:r w:rsidR="00EF42E0">
        <w:rPr>
          <w:rFonts w:cs="Times New Roman"/>
          <w:sz w:val="24"/>
          <w:szCs w:val="24"/>
        </w:rPr>
        <w:t xml:space="preserve"> </w:t>
      </w:r>
    </w:p>
    <w:p w14:paraId="7F46087D" w14:textId="3CC0AF01" w:rsidR="00EF42E0" w:rsidRDefault="00EF42E0" w:rsidP="00642C0C">
      <w:pPr>
        <w:numPr>
          <w:ilvl w:val="12"/>
          <w:numId w:val="0"/>
        </w:numPr>
        <w:spacing w:after="0" w:line="240" w:lineRule="auto"/>
        <w:rPr>
          <w:rFonts w:cs="Times New Roman"/>
          <w:sz w:val="24"/>
          <w:szCs w:val="24"/>
        </w:rPr>
      </w:pPr>
    </w:p>
    <w:p w14:paraId="47067C20" w14:textId="6F0A8650" w:rsidR="00EF42E0" w:rsidRPr="00C85445" w:rsidRDefault="00EF42E0" w:rsidP="00642C0C">
      <w:pPr>
        <w:numPr>
          <w:ilvl w:val="12"/>
          <w:numId w:val="0"/>
        </w:numPr>
        <w:spacing w:after="0" w:line="240" w:lineRule="auto"/>
        <w:rPr>
          <w:rFonts w:cs="Times New Roman"/>
          <w:sz w:val="24"/>
          <w:szCs w:val="24"/>
        </w:rPr>
      </w:pPr>
      <w:r>
        <w:rPr>
          <w:rFonts w:cs="Times New Roman"/>
          <w:sz w:val="24"/>
          <w:szCs w:val="24"/>
        </w:rPr>
        <w:t xml:space="preserve">In past years, the advisory group teed up public discussions about “additional mechanisms of assistance” per Sec. 120. Commerce will not be having the advisory group discuss these sections of the statute this year. Advisory group members are encouraged to actively participate in the public workshops where these policy area focused discussions will take place. </w:t>
      </w:r>
    </w:p>
    <w:p w14:paraId="71D75B9D" w14:textId="77777777" w:rsidR="00E76219" w:rsidRPr="00C85445" w:rsidRDefault="00E76219" w:rsidP="00642C0C">
      <w:pPr>
        <w:numPr>
          <w:ilvl w:val="12"/>
          <w:numId w:val="0"/>
        </w:numPr>
        <w:spacing w:after="0" w:line="240" w:lineRule="auto"/>
        <w:rPr>
          <w:rFonts w:cs="Times New Roman"/>
          <w:sz w:val="24"/>
          <w:szCs w:val="24"/>
        </w:rPr>
      </w:pPr>
    </w:p>
    <w:p w14:paraId="6DE290B1" w14:textId="4F87F597" w:rsidR="00C437E5" w:rsidRPr="00C85445" w:rsidRDefault="00C437E5" w:rsidP="00642C0C">
      <w:pPr>
        <w:numPr>
          <w:ilvl w:val="12"/>
          <w:numId w:val="0"/>
        </w:numPr>
        <w:spacing w:after="0" w:line="240" w:lineRule="auto"/>
        <w:rPr>
          <w:rFonts w:cs="Times New Roman"/>
          <w:sz w:val="24"/>
          <w:szCs w:val="24"/>
        </w:rPr>
      </w:pPr>
      <w:r w:rsidRPr="00C85445">
        <w:rPr>
          <w:rFonts w:cs="Times New Roman"/>
          <w:sz w:val="24"/>
          <w:szCs w:val="24"/>
        </w:rPr>
        <w:t>Advisory group meetings are to be</w:t>
      </w:r>
      <w:r w:rsidR="00CD1074" w:rsidRPr="00C85445">
        <w:rPr>
          <w:rFonts w:cs="Times New Roman"/>
          <w:sz w:val="24"/>
          <w:szCs w:val="24"/>
        </w:rPr>
        <w:t xml:space="preserve"> constructive, collaborative, and </w:t>
      </w:r>
      <w:r w:rsidRPr="00C85445">
        <w:rPr>
          <w:rFonts w:cs="Times New Roman"/>
          <w:sz w:val="24"/>
          <w:szCs w:val="24"/>
        </w:rPr>
        <w:t>dedicated to adv</w:t>
      </w:r>
      <w:r w:rsidR="00C85445">
        <w:rPr>
          <w:rFonts w:cs="Times New Roman"/>
          <w:sz w:val="24"/>
          <w:szCs w:val="24"/>
        </w:rPr>
        <w:t>ancing the Legislature’s intent</w:t>
      </w:r>
      <w:r w:rsidRPr="00C85445">
        <w:rPr>
          <w:rFonts w:cs="Times New Roman"/>
          <w:sz w:val="24"/>
          <w:szCs w:val="24"/>
        </w:rPr>
        <w:t xml:space="preserve"> to demonstrate progress toward making energy assistance funds available to low-income households consistent with the policies identified in </w:t>
      </w:r>
      <w:r w:rsidR="00E76219" w:rsidRPr="00C85445">
        <w:rPr>
          <w:rFonts w:cs="Times New Roman"/>
          <w:sz w:val="24"/>
          <w:szCs w:val="24"/>
        </w:rPr>
        <w:t>Sec. 120</w:t>
      </w:r>
      <w:r w:rsidRPr="00C85445">
        <w:rPr>
          <w:rFonts w:cs="Times New Roman"/>
          <w:sz w:val="24"/>
          <w:szCs w:val="24"/>
        </w:rPr>
        <w:t>.</w:t>
      </w:r>
    </w:p>
    <w:p w14:paraId="27D5BD7B" w14:textId="77777777" w:rsidR="006F6CF7" w:rsidRPr="00C85445" w:rsidRDefault="006F6CF7" w:rsidP="00EA500B">
      <w:pPr>
        <w:numPr>
          <w:ilvl w:val="12"/>
          <w:numId w:val="0"/>
        </w:numPr>
        <w:spacing w:after="0" w:line="240" w:lineRule="auto"/>
        <w:rPr>
          <w:rFonts w:cs="Times New Roman"/>
          <w:sz w:val="24"/>
          <w:szCs w:val="24"/>
        </w:rPr>
      </w:pPr>
    </w:p>
    <w:p w14:paraId="17153F96" w14:textId="77777777" w:rsidR="00EF42E0" w:rsidRDefault="00EF42E0" w:rsidP="00C85445">
      <w:pPr>
        <w:numPr>
          <w:ilvl w:val="12"/>
          <w:numId w:val="0"/>
        </w:numPr>
        <w:spacing w:after="0" w:line="240" w:lineRule="auto"/>
        <w:ind w:left="720" w:hanging="720"/>
        <w:rPr>
          <w:rFonts w:eastAsia="Times New Roman" w:cs="Times New Roman"/>
          <w:b/>
          <w:sz w:val="24"/>
          <w:szCs w:val="24"/>
        </w:rPr>
      </w:pPr>
    </w:p>
    <w:p w14:paraId="2B7AED8D" w14:textId="01CFAC65" w:rsidR="00642C0C" w:rsidRPr="00C85445" w:rsidRDefault="00433930" w:rsidP="00C85445">
      <w:pPr>
        <w:numPr>
          <w:ilvl w:val="12"/>
          <w:numId w:val="0"/>
        </w:numPr>
        <w:spacing w:after="0" w:line="240" w:lineRule="auto"/>
        <w:ind w:left="720" w:hanging="720"/>
        <w:rPr>
          <w:rFonts w:eastAsia="Times New Roman" w:cs="Times New Roman"/>
          <w:b/>
          <w:sz w:val="24"/>
          <w:szCs w:val="24"/>
        </w:rPr>
      </w:pPr>
      <w:r w:rsidRPr="00C85445">
        <w:rPr>
          <w:rFonts w:eastAsia="Times New Roman" w:cs="Times New Roman"/>
          <w:b/>
          <w:sz w:val="24"/>
          <w:szCs w:val="24"/>
        </w:rPr>
        <w:lastRenderedPageBreak/>
        <w:t>Roles and Responsibilities</w:t>
      </w:r>
    </w:p>
    <w:p w14:paraId="1AEAACAF" w14:textId="3BBB3D61" w:rsidR="00C85445" w:rsidRDefault="00EF42E0" w:rsidP="00EF42E0">
      <w:pPr>
        <w:pStyle w:val="ListParagraph"/>
        <w:numPr>
          <w:ilvl w:val="0"/>
          <w:numId w:val="11"/>
        </w:numPr>
        <w:spacing w:after="0" w:line="240" w:lineRule="auto"/>
        <w:rPr>
          <w:rFonts w:eastAsia="Times New Roman" w:cs="Times New Roman"/>
          <w:sz w:val="24"/>
          <w:szCs w:val="24"/>
        </w:rPr>
      </w:pPr>
      <w:r>
        <w:rPr>
          <w:rFonts w:eastAsia="Times New Roman" w:cs="Times New Roman"/>
          <w:sz w:val="24"/>
          <w:szCs w:val="24"/>
        </w:rPr>
        <w:t>Advise Commerce in the data aggregation process</w:t>
      </w:r>
    </w:p>
    <w:p w14:paraId="6E992E11" w14:textId="193D7421" w:rsidR="00EF42E0" w:rsidRPr="00EF42E0" w:rsidRDefault="00EF42E0" w:rsidP="00EF42E0">
      <w:pPr>
        <w:pStyle w:val="ListParagraph"/>
        <w:numPr>
          <w:ilvl w:val="0"/>
          <w:numId w:val="11"/>
        </w:numPr>
        <w:spacing w:after="0" w:line="240" w:lineRule="auto"/>
        <w:rPr>
          <w:rFonts w:eastAsia="Times New Roman" w:cs="Times New Roman"/>
          <w:sz w:val="24"/>
          <w:szCs w:val="24"/>
        </w:rPr>
      </w:pPr>
      <w:r>
        <w:rPr>
          <w:rFonts w:eastAsia="Times New Roman" w:cs="Times New Roman"/>
          <w:sz w:val="24"/>
          <w:szCs w:val="24"/>
        </w:rPr>
        <w:t>Advise Commerce in the analysis of utility data and assessments</w:t>
      </w:r>
    </w:p>
    <w:p w14:paraId="79BBC30C" w14:textId="77777777" w:rsidR="00EF42E0" w:rsidRPr="00EF42E0" w:rsidRDefault="00EF42E0" w:rsidP="00EF42E0">
      <w:pPr>
        <w:spacing w:after="0" w:line="240" w:lineRule="auto"/>
        <w:rPr>
          <w:rFonts w:eastAsia="Times New Roman" w:cs="Times New Roman"/>
          <w:sz w:val="24"/>
          <w:szCs w:val="24"/>
        </w:rPr>
      </w:pPr>
    </w:p>
    <w:p w14:paraId="5EB027F2" w14:textId="77777777" w:rsidR="006F6CF7" w:rsidRPr="00C85445" w:rsidRDefault="006F6CF7" w:rsidP="00EA500B">
      <w:pPr>
        <w:pStyle w:val="BodyTextIndent2"/>
        <w:ind w:left="720" w:hanging="720"/>
        <w:rPr>
          <w:rFonts w:asciiTheme="minorHAnsi" w:hAnsiTheme="minorHAnsi"/>
          <w:szCs w:val="24"/>
        </w:rPr>
      </w:pPr>
      <w:r w:rsidRPr="00C85445">
        <w:rPr>
          <w:rFonts w:asciiTheme="minorHAnsi" w:hAnsiTheme="minorHAnsi"/>
          <w:b/>
          <w:szCs w:val="24"/>
        </w:rPr>
        <w:t>Structure</w:t>
      </w:r>
      <w:r w:rsidR="00E76219" w:rsidRPr="00C85445">
        <w:rPr>
          <w:rFonts w:asciiTheme="minorHAnsi" w:hAnsiTheme="minorHAnsi"/>
          <w:b/>
          <w:szCs w:val="24"/>
        </w:rPr>
        <w:t xml:space="preserve"> and participation</w:t>
      </w:r>
    </w:p>
    <w:p w14:paraId="49316EB1" w14:textId="7A3B7FC0" w:rsidR="006F6CF7" w:rsidRPr="00C85445" w:rsidRDefault="006F6CF7" w:rsidP="00C85445">
      <w:pPr>
        <w:pStyle w:val="BodyTextIndent2"/>
        <w:ind w:left="0"/>
        <w:rPr>
          <w:rFonts w:asciiTheme="minorHAnsi" w:hAnsiTheme="minorHAnsi"/>
          <w:szCs w:val="24"/>
        </w:rPr>
      </w:pPr>
      <w:r w:rsidRPr="00C85445">
        <w:rPr>
          <w:rFonts w:asciiTheme="minorHAnsi" w:hAnsiTheme="minorHAnsi"/>
          <w:szCs w:val="24"/>
        </w:rPr>
        <w:t xml:space="preserve">The </w:t>
      </w:r>
      <w:r w:rsidR="00E76219" w:rsidRPr="00C85445">
        <w:rPr>
          <w:rFonts w:asciiTheme="minorHAnsi" w:hAnsiTheme="minorHAnsi"/>
          <w:szCs w:val="24"/>
        </w:rPr>
        <w:t>advisory group</w:t>
      </w:r>
      <w:r w:rsidRPr="00C85445">
        <w:rPr>
          <w:rFonts w:asciiTheme="minorHAnsi" w:hAnsiTheme="minorHAnsi"/>
          <w:szCs w:val="24"/>
        </w:rPr>
        <w:t xml:space="preserve"> will consist of at least one rep</w:t>
      </w:r>
      <w:r w:rsidR="00E76219" w:rsidRPr="00C85445">
        <w:rPr>
          <w:rFonts w:asciiTheme="minorHAnsi" w:hAnsiTheme="minorHAnsi"/>
          <w:szCs w:val="24"/>
        </w:rPr>
        <w:t xml:space="preserve">resentatives from the following </w:t>
      </w:r>
      <w:r w:rsidR="00CD1074" w:rsidRPr="00C85445">
        <w:rPr>
          <w:rFonts w:asciiTheme="minorHAnsi" w:hAnsiTheme="minorHAnsi"/>
          <w:szCs w:val="24"/>
        </w:rPr>
        <w:t xml:space="preserve">agencies and </w:t>
      </w:r>
      <w:r w:rsidRPr="00C85445">
        <w:rPr>
          <w:rFonts w:asciiTheme="minorHAnsi" w:hAnsiTheme="minorHAnsi"/>
          <w:szCs w:val="24"/>
        </w:rPr>
        <w:t>groups:</w:t>
      </w:r>
    </w:p>
    <w:p w14:paraId="08705ED6" w14:textId="77777777"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Commerce</w:t>
      </w:r>
    </w:p>
    <w:p w14:paraId="59F2E5BF" w14:textId="77777777"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Utilities and Transportation Commission</w:t>
      </w:r>
    </w:p>
    <w:p w14:paraId="5664BE75" w14:textId="3F877ABC"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Investor</w:t>
      </w:r>
      <w:r w:rsidR="009407CA" w:rsidRPr="00C85445">
        <w:rPr>
          <w:rFonts w:asciiTheme="minorHAnsi" w:hAnsiTheme="minorHAnsi"/>
          <w:szCs w:val="24"/>
        </w:rPr>
        <w:t>-o</w:t>
      </w:r>
      <w:r w:rsidRPr="00C85445">
        <w:rPr>
          <w:rFonts w:asciiTheme="minorHAnsi" w:hAnsiTheme="minorHAnsi"/>
          <w:szCs w:val="24"/>
        </w:rPr>
        <w:t xml:space="preserve">wned </w:t>
      </w:r>
      <w:r w:rsidR="009407CA" w:rsidRPr="00C85445">
        <w:rPr>
          <w:rFonts w:asciiTheme="minorHAnsi" w:hAnsiTheme="minorHAnsi"/>
          <w:szCs w:val="24"/>
        </w:rPr>
        <w:t>u</w:t>
      </w:r>
      <w:r w:rsidR="00CD1074" w:rsidRPr="00C85445">
        <w:rPr>
          <w:rFonts w:asciiTheme="minorHAnsi" w:hAnsiTheme="minorHAnsi"/>
          <w:szCs w:val="24"/>
        </w:rPr>
        <w:t>tilities</w:t>
      </w:r>
      <w:r w:rsidRPr="00C85445">
        <w:rPr>
          <w:rFonts w:asciiTheme="minorHAnsi" w:hAnsiTheme="minorHAnsi"/>
          <w:szCs w:val="24"/>
        </w:rPr>
        <w:t xml:space="preserve"> </w:t>
      </w:r>
    </w:p>
    <w:p w14:paraId="71EB61D2" w14:textId="4B7C5A3C"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 xml:space="preserve">Public </w:t>
      </w:r>
      <w:r w:rsidR="009407CA" w:rsidRPr="00C85445">
        <w:rPr>
          <w:rFonts w:asciiTheme="minorHAnsi" w:hAnsiTheme="minorHAnsi"/>
          <w:szCs w:val="24"/>
        </w:rPr>
        <w:t>ut</w:t>
      </w:r>
      <w:r w:rsidRPr="00C85445">
        <w:rPr>
          <w:rFonts w:asciiTheme="minorHAnsi" w:hAnsiTheme="minorHAnsi"/>
          <w:szCs w:val="24"/>
        </w:rPr>
        <w:t xml:space="preserve">ility </w:t>
      </w:r>
      <w:r w:rsidR="009407CA" w:rsidRPr="00C85445">
        <w:rPr>
          <w:rFonts w:asciiTheme="minorHAnsi" w:hAnsiTheme="minorHAnsi"/>
          <w:szCs w:val="24"/>
        </w:rPr>
        <w:t>d</w:t>
      </w:r>
      <w:r w:rsidRPr="00C85445">
        <w:rPr>
          <w:rFonts w:asciiTheme="minorHAnsi" w:hAnsiTheme="minorHAnsi"/>
          <w:szCs w:val="24"/>
        </w:rPr>
        <w:t>istrict</w:t>
      </w:r>
      <w:r w:rsidR="00CD1074" w:rsidRPr="00C85445">
        <w:rPr>
          <w:rFonts w:asciiTheme="minorHAnsi" w:hAnsiTheme="minorHAnsi"/>
          <w:szCs w:val="24"/>
        </w:rPr>
        <w:t>s</w:t>
      </w:r>
      <w:r w:rsidRPr="00C85445">
        <w:rPr>
          <w:rFonts w:asciiTheme="minorHAnsi" w:hAnsiTheme="minorHAnsi"/>
          <w:szCs w:val="24"/>
        </w:rPr>
        <w:tab/>
      </w:r>
    </w:p>
    <w:p w14:paraId="6E14B4E4" w14:textId="7C9E84C3"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 xml:space="preserve">Rural </w:t>
      </w:r>
      <w:r w:rsidR="009407CA" w:rsidRPr="00C85445">
        <w:rPr>
          <w:rFonts w:asciiTheme="minorHAnsi" w:hAnsiTheme="minorHAnsi"/>
          <w:szCs w:val="24"/>
        </w:rPr>
        <w:t>e</w:t>
      </w:r>
      <w:r w:rsidRPr="00C85445">
        <w:rPr>
          <w:rFonts w:asciiTheme="minorHAnsi" w:hAnsiTheme="minorHAnsi"/>
          <w:szCs w:val="24"/>
        </w:rPr>
        <w:t xml:space="preserve">lectric </w:t>
      </w:r>
      <w:r w:rsidR="009407CA" w:rsidRPr="00C85445">
        <w:rPr>
          <w:rFonts w:asciiTheme="minorHAnsi" w:hAnsiTheme="minorHAnsi"/>
          <w:szCs w:val="24"/>
        </w:rPr>
        <w:t>c</w:t>
      </w:r>
      <w:r w:rsidRPr="00C85445">
        <w:rPr>
          <w:rFonts w:asciiTheme="minorHAnsi" w:hAnsiTheme="minorHAnsi"/>
          <w:szCs w:val="24"/>
        </w:rPr>
        <w:t>oop</w:t>
      </w:r>
      <w:r w:rsidR="009407CA" w:rsidRPr="00C85445">
        <w:rPr>
          <w:rFonts w:asciiTheme="minorHAnsi" w:hAnsiTheme="minorHAnsi"/>
          <w:szCs w:val="24"/>
        </w:rPr>
        <w:t>erative</w:t>
      </w:r>
      <w:r w:rsidR="00CD1074" w:rsidRPr="00C85445">
        <w:rPr>
          <w:rFonts w:asciiTheme="minorHAnsi" w:hAnsiTheme="minorHAnsi"/>
          <w:szCs w:val="24"/>
        </w:rPr>
        <w:t>s</w:t>
      </w:r>
    </w:p>
    <w:p w14:paraId="2B6C758E" w14:textId="3A546831"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 xml:space="preserve">Municipal </w:t>
      </w:r>
      <w:r w:rsidR="009407CA" w:rsidRPr="00C85445">
        <w:rPr>
          <w:rFonts w:asciiTheme="minorHAnsi" w:hAnsiTheme="minorHAnsi"/>
          <w:szCs w:val="24"/>
        </w:rPr>
        <w:t>u</w:t>
      </w:r>
      <w:r w:rsidRPr="00C85445">
        <w:rPr>
          <w:rFonts w:asciiTheme="minorHAnsi" w:hAnsiTheme="minorHAnsi"/>
          <w:szCs w:val="24"/>
        </w:rPr>
        <w:t>t</w:t>
      </w:r>
      <w:r w:rsidR="00CD1074" w:rsidRPr="00C85445">
        <w:rPr>
          <w:rFonts w:asciiTheme="minorHAnsi" w:hAnsiTheme="minorHAnsi"/>
          <w:szCs w:val="24"/>
        </w:rPr>
        <w:t>ilities</w:t>
      </w:r>
    </w:p>
    <w:p w14:paraId="7AE6A39F" w14:textId="12F74782"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 xml:space="preserve">Community </w:t>
      </w:r>
      <w:r w:rsidR="009407CA" w:rsidRPr="00C85445">
        <w:rPr>
          <w:rFonts w:asciiTheme="minorHAnsi" w:hAnsiTheme="minorHAnsi"/>
          <w:szCs w:val="24"/>
        </w:rPr>
        <w:t>a</w:t>
      </w:r>
      <w:r w:rsidRPr="00C85445">
        <w:rPr>
          <w:rFonts w:asciiTheme="minorHAnsi" w:hAnsiTheme="minorHAnsi"/>
          <w:szCs w:val="24"/>
        </w:rPr>
        <w:t xml:space="preserve">ction </w:t>
      </w:r>
      <w:r w:rsidR="009407CA" w:rsidRPr="00C85445">
        <w:rPr>
          <w:rFonts w:asciiTheme="minorHAnsi" w:hAnsiTheme="minorHAnsi"/>
          <w:szCs w:val="24"/>
        </w:rPr>
        <w:t>p</w:t>
      </w:r>
      <w:r w:rsidRPr="00C85445">
        <w:rPr>
          <w:rFonts w:asciiTheme="minorHAnsi" w:hAnsiTheme="minorHAnsi"/>
          <w:szCs w:val="24"/>
        </w:rPr>
        <w:t>rogram</w:t>
      </w:r>
      <w:r w:rsidR="00CD1074" w:rsidRPr="00C85445">
        <w:rPr>
          <w:rFonts w:asciiTheme="minorHAnsi" w:hAnsiTheme="minorHAnsi"/>
          <w:szCs w:val="24"/>
        </w:rPr>
        <w:t>s</w:t>
      </w:r>
    </w:p>
    <w:p w14:paraId="7D1FFF32" w14:textId="337EF68E" w:rsidR="006F6CF7"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Low-</w:t>
      </w:r>
      <w:r w:rsidR="009407CA" w:rsidRPr="00C85445">
        <w:rPr>
          <w:rFonts w:asciiTheme="minorHAnsi" w:hAnsiTheme="minorHAnsi"/>
          <w:szCs w:val="24"/>
        </w:rPr>
        <w:t>i</w:t>
      </w:r>
      <w:r w:rsidRPr="00C85445">
        <w:rPr>
          <w:rFonts w:asciiTheme="minorHAnsi" w:hAnsiTheme="minorHAnsi"/>
          <w:szCs w:val="24"/>
        </w:rPr>
        <w:t xml:space="preserve">ncome </w:t>
      </w:r>
      <w:r w:rsidR="009407CA" w:rsidRPr="00C85445">
        <w:rPr>
          <w:rFonts w:asciiTheme="minorHAnsi" w:hAnsiTheme="minorHAnsi"/>
          <w:szCs w:val="24"/>
        </w:rPr>
        <w:t>r</w:t>
      </w:r>
      <w:r w:rsidRPr="00C85445">
        <w:rPr>
          <w:rFonts w:asciiTheme="minorHAnsi" w:hAnsiTheme="minorHAnsi"/>
          <w:szCs w:val="24"/>
        </w:rPr>
        <w:t xml:space="preserve">atepayer </w:t>
      </w:r>
      <w:r w:rsidR="009407CA" w:rsidRPr="00C85445">
        <w:rPr>
          <w:rFonts w:asciiTheme="minorHAnsi" w:hAnsiTheme="minorHAnsi"/>
          <w:szCs w:val="24"/>
        </w:rPr>
        <w:t>a</w:t>
      </w:r>
      <w:r w:rsidRPr="00C85445">
        <w:rPr>
          <w:rFonts w:asciiTheme="minorHAnsi" w:hAnsiTheme="minorHAnsi"/>
          <w:szCs w:val="24"/>
        </w:rPr>
        <w:t>dvocate</w:t>
      </w:r>
      <w:r w:rsidR="00CD1074" w:rsidRPr="00C85445">
        <w:rPr>
          <w:rFonts w:asciiTheme="minorHAnsi" w:hAnsiTheme="minorHAnsi"/>
          <w:szCs w:val="24"/>
        </w:rPr>
        <w:t>s</w:t>
      </w:r>
      <w:r w:rsidRPr="00C85445">
        <w:rPr>
          <w:rFonts w:asciiTheme="minorHAnsi" w:hAnsiTheme="minorHAnsi"/>
          <w:szCs w:val="24"/>
        </w:rPr>
        <w:t xml:space="preserve"> </w:t>
      </w:r>
    </w:p>
    <w:p w14:paraId="4F8E2BDB" w14:textId="28C5857F" w:rsidR="00E76219" w:rsidRPr="00C85445" w:rsidRDefault="006F6CF7" w:rsidP="00C85445">
      <w:pPr>
        <w:pStyle w:val="BodyTextIndent2"/>
        <w:numPr>
          <w:ilvl w:val="0"/>
          <w:numId w:val="9"/>
        </w:numPr>
        <w:ind w:left="720"/>
        <w:rPr>
          <w:rFonts w:asciiTheme="minorHAnsi" w:hAnsiTheme="minorHAnsi"/>
          <w:szCs w:val="24"/>
        </w:rPr>
      </w:pPr>
      <w:r w:rsidRPr="00C85445">
        <w:rPr>
          <w:rFonts w:asciiTheme="minorHAnsi" w:hAnsiTheme="minorHAnsi"/>
          <w:szCs w:val="24"/>
        </w:rPr>
        <w:t xml:space="preserve">Environmental </w:t>
      </w:r>
      <w:r w:rsidR="009407CA" w:rsidRPr="00C85445">
        <w:rPr>
          <w:rFonts w:asciiTheme="minorHAnsi" w:hAnsiTheme="minorHAnsi"/>
          <w:szCs w:val="24"/>
        </w:rPr>
        <w:t>a</w:t>
      </w:r>
      <w:r w:rsidRPr="00C85445">
        <w:rPr>
          <w:rFonts w:asciiTheme="minorHAnsi" w:hAnsiTheme="minorHAnsi"/>
          <w:szCs w:val="24"/>
        </w:rPr>
        <w:t>dvocate</w:t>
      </w:r>
      <w:r w:rsidR="00CD1074" w:rsidRPr="00C85445">
        <w:rPr>
          <w:rFonts w:asciiTheme="minorHAnsi" w:hAnsiTheme="minorHAnsi"/>
          <w:szCs w:val="24"/>
        </w:rPr>
        <w:t>s</w:t>
      </w:r>
      <w:r w:rsidRPr="00C85445">
        <w:rPr>
          <w:rFonts w:asciiTheme="minorHAnsi" w:hAnsiTheme="minorHAnsi"/>
          <w:szCs w:val="24"/>
        </w:rPr>
        <w:t xml:space="preserve"> </w:t>
      </w:r>
    </w:p>
    <w:p w14:paraId="1C3552CB" w14:textId="77777777" w:rsidR="00E76219" w:rsidRPr="00C85445" w:rsidRDefault="00E76219" w:rsidP="00E76219">
      <w:pPr>
        <w:pStyle w:val="BodyTextIndent2"/>
        <w:ind w:left="0"/>
        <w:rPr>
          <w:rFonts w:asciiTheme="minorHAnsi" w:hAnsiTheme="minorHAnsi"/>
          <w:szCs w:val="24"/>
        </w:rPr>
      </w:pPr>
    </w:p>
    <w:p w14:paraId="7F401600" w14:textId="4AA3A8FB" w:rsidR="00DF3E78" w:rsidRDefault="00591A7D" w:rsidP="00591A7D">
      <w:pPr>
        <w:pStyle w:val="BodyTextIndent2"/>
        <w:ind w:left="0"/>
        <w:rPr>
          <w:rFonts w:asciiTheme="minorHAnsi" w:hAnsiTheme="minorHAnsi"/>
          <w:szCs w:val="24"/>
        </w:rPr>
      </w:pPr>
      <w:r w:rsidRPr="00C85445">
        <w:rPr>
          <w:rFonts w:asciiTheme="minorHAnsi" w:hAnsiTheme="minorHAnsi"/>
          <w:szCs w:val="24"/>
        </w:rPr>
        <w:t>Commerce intends for the advisory group to be</w:t>
      </w:r>
      <w:r w:rsidR="00C85445">
        <w:rPr>
          <w:rFonts w:asciiTheme="minorHAnsi" w:hAnsiTheme="minorHAnsi"/>
          <w:szCs w:val="24"/>
        </w:rPr>
        <w:t xml:space="preserve"> a</w:t>
      </w:r>
      <w:r w:rsidRPr="00C85445">
        <w:rPr>
          <w:rFonts w:asciiTheme="minorHAnsi" w:hAnsiTheme="minorHAnsi"/>
          <w:szCs w:val="24"/>
        </w:rPr>
        <w:t xml:space="preserve"> small </w:t>
      </w:r>
      <w:r w:rsidR="00263F04" w:rsidRPr="00C85445">
        <w:rPr>
          <w:rFonts w:asciiTheme="minorHAnsi" w:hAnsiTheme="minorHAnsi"/>
          <w:szCs w:val="24"/>
        </w:rPr>
        <w:t xml:space="preserve">group of programmatic staff </w:t>
      </w:r>
      <w:r w:rsidRPr="00C85445">
        <w:rPr>
          <w:rFonts w:asciiTheme="minorHAnsi" w:hAnsiTheme="minorHAnsi"/>
          <w:szCs w:val="24"/>
        </w:rPr>
        <w:t>to encourage interactive discussions among</w:t>
      </w:r>
      <w:r w:rsidR="00263F04" w:rsidRPr="00C85445">
        <w:rPr>
          <w:rFonts w:asciiTheme="minorHAnsi" w:hAnsiTheme="minorHAnsi"/>
          <w:szCs w:val="24"/>
        </w:rPr>
        <w:t xml:space="preserve"> folks most familiar with utility data</w:t>
      </w:r>
      <w:r w:rsidR="00CD1074" w:rsidRPr="00C85445">
        <w:rPr>
          <w:rFonts w:asciiTheme="minorHAnsi" w:hAnsiTheme="minorHAnsi"/>
          <w:szCs w:val="24"/>
        </w:rPr>
        <w:t xml:space="preserve">. </w:t>
      </w:r>
      <w:r w:rsidRPr="00C85445">
        <w:rPr>
          <w:rFonts w:asciiTheme="minorHAnsi" w:hAnsiTheme="minorHAnsi"/>
          <w:szCs w:val="24"/>
        </w:rPr>
        <w:t>Participation is voluntary.</w:t>
      </w:r>
      <w:r w:rsidR="00263F04" w:rsidRPr="00C85445">
        <w:rPr>
          <w:rFonts w:asciiTheme="minorHAnsi" w:hAnsiTheme="minorHAnsi"/>
          <w:szCs w:val="24"/>
        </w:rPr>
        <w:t xml:space="preserve"> </w:t>
      </w:r>
    </w:p>
    <w:p w14:paraId="005FC270" w14:textId="77777777" w:rsidR="00DF3E78" w:rsidRPr="00C85445" w:rsidRDefault="00DF3E78" w:rsidP="00591A7D">
      <w:pPr>
        <w:pStyle w:val="BodyTextIndent2"/>
        <w:ind w:left="0"/>
        <w:rPr>
          <w:rFonts w:asciiTheme="minorHAnsi" w:hAnsiTheme="minorHAnsi"/>
          <w:szCs w:val="24"/>
        </w:rPr>
      </w:pPr>
    </w:p>
    <w:p w14:paraId="416602F5" w14:textId="77AD058C" w:rsidR="009722A6" w:rsidRPr="00C85445" w:rsidRDefault="00263F04" w:rsidP="00591A7D">
      <w:pPr>
        <w:pStyle w:val="BodyTextIndent2"/>
        <w:ind w:left="0"/>
        <w:rPr>
          <w:rFonts w:asciiTheme="minorHAnsi" w:hAnsiTheme="minorHAnsi"/>
          <w:szCs w:val="24"/>
        </w:rPr>
      </w:pPr>
      <w:r w:rsidRPr="00C85445">
        <w:rPr>
          <w:rFonts w:asciiTheme="minorHAnsi" w:hAnsiTheme="minorHAnsi"/>
          <w:szCs w:val="24"/>
        </w:rPr>
        <w:t>The contributions and experiences of past advisory group members are valued.</w:t>
      </w:r>
      <w:r w:rsidR="00591A7D" w:rsidRPr="00C85445">
        <w:rPr>
          <w:rFonts w:asciiTheme="minorHAnsi" w:hAnsiTheme="minorHAnsi"/>
          <w:szCs w:val="24"/>
        </w:rPr>
        <w:t xml:space="preserve"> M</w:t>
      </w:r>
      <w:r w:rsidR="005B310E" w:rsidRPr="00C85445">
        <w:rPr>
          <w:rFonts w:asciiTheme="minorHAnsi" w:hAnsiTheme="minorHAnsi"/>
          <w:szCs w:val="24"/>
        </w:rPr>
        <w:t>ember</w:t>
      </w:r>
      <w:r w:rsidRPr="00C85445">
        <w:rPr>
          <w:rFonts w:asciiTheme="minorHAnsi" w:hAnsiTheme="minorHAnsi"/>
          <w:szCs w:val="24"/>
        </w:rPr>
        <w:t xml:space="preserve">s </w:t>
      </w:r>
      <w:r w:rsidR="00CD1074" w:rsidRPr="00C85445">
        <w:rPr>
          <w:rFonts w:asciiTheme="minorHAnsi" w:hAnsiTheme="minorHAnsi"/>
          <w:szCs w:val="24"/>
        </w:rPr>
        <w:t>of the</w:t>
      </w:r>
      <w:r w:rsidR="00BA0763" w:rsidRPr="00C85445">
        <w:rPr>
          <w:rFonts w:asciiTheme="minorHAnsi" w:hAnsiTheme="minorHAnsi"/>
          <w:szCs w:val="24"/>
        </w:rPr>
        <w:t xml:space="preserve"> 2019</w:t>
      </w:r>
      <w:r w:rsidRPr="00C85445">
        <w:rPr>
          <w:rFonts w:asciiTheme="minorHAnsi" w:hAnsiTheme="minorHAnsi"/>
          <w:szCs w:val="24"/>
        </w:rPr>
        <w:t xml:space="preserve"> and 2022</w:t>
      </w:r>
      <w:r w:rsidR="00BA0763" w:rsidRPr="00C85445">
        <w:rPr>
          <w:rFonts w:asciiTheme="minorHAnsi" w:hAnsiTheme="minorHAnsi"/>
          <w:szCs w:val="24"/>
        </w:rPr>
        <w:t xml:space="preserve"> </w:t>
      </w:r>
      <w:r w:rsidR="00CD1074" w:rsidRPr="00C85445">
        <w:rPr>
          <w:rFonts w:asciiTheme="minorHAnsi" w:hAnsiTheme="minorHAnsi"/>
          <w:szCs w:val="24"/>
        </w:rPr>
        <w:t xml:space="preserve">advisory groups </w:t>
      </w:r>
      <w:r w:rsidR="00BA0763" w:rsidRPr="00C85445">
        <w:rPr>
          <w:rFonts w:asciiTheme="minorHAnsi" w:hAnsiTheme="minorHAnsi"/>
          <w:szCs w:val="24"/>
        </w:rPr>
        <w:t>will be asked if they would like to remain on the</w:t>
      </w:r>
      <w:r w:rsidR="00E76219" w:rsidRPr="00C85445">
        <w:rPr>
          <w:rFonts w:asciiTheme="minorHAnsi" w:hAnsiTheme="minorHAnsi"/>
          <w:szCs w:val="24"/>
        </w:rPr>
        <w:t xml:space="preserve"> advisory group</w:t>
      </w:r>
      <w:r w:rsidR="005B310E" w:rsidRPr="00C85445">
        <w:rPr>
          <w:rFonts w:asciiTheme="minorHAnsi" w:hAnsiTheme="minorHAnsi"/>
          <w:szCs w:val="24"/>
        </w:rPr>
        <w:t>.</w:t>
      </w:r>
      <w:r w:rsidR="00591A7D" w:rsidRPr="00C85445">
        <w:rPr>
          <w:rFonts w:asciiTheme="minorHAnsi" w:hAnsiTheme="minorHAnsi"/>
          <w:szCs w:val="24"/>
        </w:rPr>
        <w:t xml:space="preserve"> Commerce may limit the</w:t>
      </w:r>
      <w:r w:rsidR="00F40893" w:rsidRPr="00C85445">
        <w:rPr>
          <w:rFonts w:asciiTheme="minorHAnsi" w:hAnsiTheme="minorHAnsi"/>
          <w:szCs w:val="24"/>
        </w:rPr>
        <w:t xml:space="preserve"> number </w:t>
      </w:r>
      <w:r w:rsidR="00CD1074" w:rsidRPr="00C85445">
        <w:rPr>
          <w:rFonts w:asciiTheme="minorHAnsi" w:hAnsiTheme="minorHAnsi"/>
          <w:szCs w:val="24"/>
        </w:rPr>
        <w:t>members on the team</w:t>
      </w:r>
      <w:r w:rsidRPr="00C85445">
        <w:rPr>
          <w:rFonts w:asciiTheme="minorHAnsi" w:hAnsiTheme="minorHAnsi"/>
          <w:szCs w:val="24"/>
        </w:rPr>
        <w:t xml:space="preserve"> to encourage interactive discussions</w:t>
      </w:r>
      <w:r w:rsidR="00591A7D" w:rsidRPr="00C85445">
        <w:rPr>
          <w:rFonts w:asciiTheme="minorHAnsi" w:hAnsiTheme="minorHAnsi"/>
          <w:szCs w:val="24"/>
        </w:rPr>
        <w:t xml:space="preserve">. </w:t>
      </w:r>
      <w:r w:rsidR="00CD1074" w:rsidRPr="00C85445">
        <w:rPr>
          <w:rFonts w:asciiTheme="minorHAnsi" w:hAnsiTheme="minorHAnsi"/>
          <w:szCs w:val="24"/>
        </w:rPr>
        <w:t xml:space="preserve">A public workshop and </w:t>
      </w:r>
      <w:r w:rsidR="00C85445" w:rsidRPr="00C85445">
        <w:rPr>
          <w:rFonts w:asciiTheme="minorHAnsi" w:hAnsiTheme="minorHAnsi"/>
          <w:szCs w:val="24"/>
        </w:rPr>
        <w:t xml:space="preserve">comment period </w:t>
      </w:r>
      <w:r w:rsidR="00CD1074" w:rsidRPr="00C85445">
        <w:rPr>
          <w:rFonts w:asciiTheme="minorHAnsi" w:hAnsiTheme="minorHAnsi"/>
          <w:szCs w:val="24"/>
        </w:rPr>
        <w:t>to review and provide i</w:t>
      </w:r>
      <w:r w:rsidR="00C85445" w:rsidRPr="00C85445">
        <w:rPr>
          <w:rFonts w:asciiTheme="minorHAnsi" w:hAnsiTheme="minorHAnsi"/>
          <w:szCs w:val="24"/>
        </w:rPr>
        <w:t>nput on the reporting tool will be held near the end of the advisory group process</w:t>
      </w:r>
      <w:r w:rsidR="00CD1074" w:rsidRPr="00C85445">
        <w:rPr>
          <w:rFonts w:asciiTheme="minorHAnsi" w:hAnsiTheme="minorHAnsi"/>
          <w:szCs w:val="24"/>
        </w:rPr>
        <w:t>.</w:t>
      </w:r>
    </w:p>
    <w:p w14:paraId="760E61DB" w14:textId="77777777" w:rsidR="00EF42E0" w:rsidRDefault="00EF42E0" w:rsidP="00EA500B">
      <w:pPr>
        <w:spacing w:after="0" w:line="240" w:lineRule="auto"/>
        <w:rPr>
          <w:rFonts w:eastAsia="Times New Roman" w:cs="Times New Roman"/>
          <w:sz w:val="24"/>
          <w:szCs w:val="24"/>
        </w:rPr>
      </w:pPr>
    </w:p>
    <w:p w14:paraId="7C206928" w14:textId="78D09C70" w:rsidR="00EA500B" w:rsidRPr="00C85445" w:rsidRDefault="009722A6" w:rsidP="00EA500B">
      <w:pPr>
        <w:spacing w:after="0" w:line="240" w:lineRule="auto"/>
        <w:rPr>
          <w:rFonts w:eastAsia="Times New Roman" w:cs="Times New Roman"/>
          <w:sz w:val="24"/>
          <w:szCs w:val="24"/>
        </w:rPr>
      </w:pPr>
      <w:r w:rsidRPr="00C85445">
        <w:rPr>
          <w:rFonts w:eastAsia="Times New Roman" w:cs="Times New Roman"/>
          <w:sz w:val="24"/>
          <w:szCs w:val="24"/>
        </w:rPr>
        <w:t xml:space="preserve">A complete list of advisory </w:t>
      </w:r>
      <w:r w:rsidR="00CD1074" w:rsidRPr="00C85445">
        <w:rPr>
          <w:rFonts w:eastAsia="Times New Roman" w:cs="Times New Roman"/>
          <w:sz w:val="24"/>
          <w:szCs w:val="24"/>
        </w:rPr>
        <w:t>team</w:t>
      </w:r>
      <w:r w:rsidRPr="00C85445">
        <w:rPr>
          <w:rFonts w:eastAsia="Times New Roman" w:cs="Times New Roman"/>
          <w:sz w:val="24"/>
          <w:szCs w:val="24"/>
        </w:rPr>
        <w:t xml:space="preserve"> members will be posted on Energy Assistance webpage once members are selected. </w:t>
      </w:r>
    </w:p>
    <w:p w14:paraId="026F27EF" w14:textId="77777777" w:rsidR="009722A6" w:rsidRPr="00C85445" w:rsidRDefault="009722A6" w:rsidP="00EA500B">
      <w:pPr>
        <w:spacing w:after="0" w:line="240" w:lineRule="auto"/>
        <w:rPr>
          <w:rFonts w:cs="Times New Roman"/>
          <w:sz w:val="24"/>
          <w:szCs w:val="24"/>
        </w:rPr>
      </w:pPr>
    </w:p>
    <w:p w14:paraId="42E21D51" w14:textId="5B4FD837" w:rsidR="00EA500B" w:rsidRPr="00C85445" w:rsidRDefault="00263F04" w:rsidP="00C85445">
      <w:pPr>
        <w:spacing w:after="0" w:line="240" w:lineRule="auto"/>
        <w:rPr>
          <w:rFonts w:cs="Times New Roman"/>
          <w:b/>
          <w:sz w:val="24"/>
          <w:szCs w:val="24"/>
        </w:rPr>
      </w:pPr>
      <w:r w:rsidRPr="00C85445">
        <w:rPr>
          <w:rFonts w:cs="Times New Roman"/>
          <w:b/>
          <w:sz w:val="24"/>
          <w:szCs w:val="24"/>
        </w:rPr>
        <w:t xml:space="preserve">Schedule </w:t>
      </w:r>
    </w:p>
    <w:p w14:paraId="3C96BBD0" w14:textId="77777777" w:rsidR="00EF42E0" w:rsidRDefault="00263F04" w:rsidP="00EA500B">
      <w:pPr>
        <w:spacing w:after="0" w:line="240" w:lineRule="auto"/>
        <w:rPr>
          <w:rFonts w:cs="Times New Roman"/>
          <w:sz w:val="24"/>
          <w:szCs w:val="24"/>
        </w:rPr>
      </w:pPr>
      <w:r w:rsidRPr="00C85445">
        <w:rPr>
          <w:rFonts w:cs="Times New Roman"/>
          <w:sz w:val="24"/>
          <w:szCs w:val="24"/>
        </w:rPr>
        <w:t xml:space="preserve">Commerce intends for this workgroup to </w:t>
      </w:r>
      <w:r w:rsidR="00EF1F02">
        <w:rPr>
          <w:rFonts w:cs="Times New Roman"/>
          <w:sz w:val="24"/>
          <w:szCs w:val="24"/>
        </w:rPr>
        <w:t xml:space="preserve">meet </w:t>
      </w:r>
      <w:r w:rsidR="00EF42E0">
        <w:rPr>
          <w:rFonts w:cs="Times New Roman"/>
          <w:sz w:val="24"/>
          <w:szCs w:val="24"/>
        </w:rPr>
        <w:t>three times between July 22</w:t>
      </w:r>
      <w:r w:rsidR="00057C1B">
        <w:rPr>
          <w:rFonts w:cs="Times New Roman"/>
          <w:sz w:val="24"/>
          <w:szCs w:val="24"/>
        </w:rPr>
        <w:t xml:space="preserve"> and</w:t>
      </w:r>
      <w:r w:rsidR="00EF42E0">
        <w:rPr>
          <w:rFonts w:cs="Times New Roman"/>
          <w:sz w:val="24"/>
          <w:szCs w:val="24"/>
        </w:rPr>
        <w:t xml:space="preserve"> Sept. 31</w:t>
      </w:r>
      <w:r w:rsidRPr="00C85445">
        <w:rPr>
          <w:rFonts w:cs="Times New Roman"/>
          <w:sz w:val="24"/>
          <w:szCs w:val="24"/>
        </w:rPr>
        <w:t xml:space="preserve">. </w:t>
      </w:r>
      <w:r w:rsidR="00EF42E0">
        <w:rPr>
          <w:rFonts w:cs="Times New Roman"/>
          <w:sz w:val="24"/>
          <w:szCs w:val="24"/>
        </w:rPr>
        <w:t>Meetings will last roughly two</w:t>
      </w:r>
      <w:r w:rsidRPr="00C85445">
        <w:rPr>
          <w:rFonts w:cs="Times New Roman"/>
          <w:sz w:val="24"/>
          <w:szCs w:val="24"/>
        </w:rPr>
        <w:t xml:space="preserve"> hours. </w:t>
      </w:r>
    </w:p>
    <w:p w14:paraId="53F8F14D" w14:textId="77777777" w:rsidR="00EF42E0" w:rsidRDefault="00EF42E0" w:rsidP="00EA500B">
      <w:pPr>
        <w:spacing w:after="0" w:line="240" w:lineRule="auto"/>
        <w:rPr>
          <w:rFonts w:cs="Times New Roman"/>
          <w:sz w:val="24"/>
          <w:szCs w:val="24"/>
        </w:rPr>
      </w:pPr>
    </w:p>
    <w:p w14:paraId="3A2AD948" w14:textId="55804CF3" w:rsidR="006F6CF7" w:rsidRPr="00C85445" w:rsidRDefault="00CD1074" w:rsidP="00EA500B">
      <w:pPr>
        <w:spacing w:after="0" w:line="240" w:lineRule="auto"/>
        <w:rPr>
          <w:rFonts w:cs="Times New Roman"/>
          <w:b/>
          <w:sz w:val="24"/>
          <w:szCs w:val="24"/>
        </w:rPr>
      </w:pPr>
      <w:r w:rsidRPr="00C85445">
        <w:rPr>
          <w:rFonts w:cs="Times New Roman"/>
          <w:sz w:val="24"/>
          <w:szCs w:val="24"/>
        </w:rPr>
        <w:t>Commerce will hold a public workshop</w:t>
      </w:r>
      <w:r w:rsidR="00EF42E0">
        <w:rPr>
          <w:rFonts w:cs="Times New Roman"/>
          <w:sz w:val="24"/>
          <w:szCs w:val="24"/>
        </w:rPr>
        <w:t>s</w:t>
      </w:r>
      <w:r w:rsidRPr="00C85445">
        <w:rPr>
          <w:rFonts w:cs="Times New Roman"/>
          <w:sz w:val="24"/>
          <w:szCs w:val="24"/>
        </w:rPr>
        <w:t xml:space="preserve"> and comment period</w:t>
      </w:r>
      <w:r w:rsidR="00EF42E0">
        <w:rPr>
          <w:rFonts w:cs="Times New Roman"/>
          <w:sz w:val="24"/>
          <w:szCs w:val="24"/>
        </w:rPr>
        <w:t>s</w:t>
      </w:r>
      <w:r w:rsidRPr="00C85445">
        <w:rPr>
          <w:rFonts w:cs="Times New Roman"/>
          <w:sz w:val="24"/>
          <w:szCs w:val="24"/>
        </w:rPr>
        <w:t xml:space="preserve"> </w:t>
      </w:r>
      <w:r w:rsidR="00EF42E0">
        <w:rPr>
          <w:rFonts w:cs="Times New Roman"/>
          <w:sz w:val="24"/>
          <w:szCs w:val="24"/>
        </w:rPr>
        <w:t xml:space="preserve">on the data and other aspects of the Sec. 120 report process. Advisory members are encouraged to participate in those workshops as well. </w:t>
      </w:r>
    </w:p>
    <w:p w14:paraId="689BD0FF" w14:textId="77777777" w:rsidR="00CB2C9A" w:rsidRPr="00C85445" w:rsidRDefault="00CB2C9A" w:rsidP="00EA500B">
      <w:pPr>
        <w:spacing w:after="0" w:line="240" w:lineRule="auto"/>
        <w:rPr>
          <w:rFonts w:cs="Times New Roman"/>
        </w:rPr>
      </w:pPr>
    </w:p>
    <w:sectPr w:rsidR="00CB2C9A" w:rsidRPr="00C85445" w:rsidSect="006F6CF7">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FF300" w14:textId="77777777" w:rsidR="00433930" w:rsidRDefault="00433930" w:rsidP="00433930">
      <w:pPr>
        <w:spacing w:after="0" w:line="240" w:lineRule="auto"/>
      </w:pPr>
      <w:r>
        <w:separator/>
      </w:r>
    </w:p>
  </w:endnote>
  <w:endnote w:type="continuationSeparator" w:id="0">
    <w:p w14:paraId="5AD7F9BE" w14:textId="77777777" w:rsidR="00433930" w:rsidRDefault="00433930" w:rsidP="00433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7EB91" w14:textId="77777777" w:rsidR="00433930" w:rsidRDefault="00433930" w:rsidP="00433930">
      <w:pPr>
        <w:spacing w:after="0" w:line="240" w:lineRule="auto"/>
      </w:pPr>
      <w:r>
        <w:separator/>
      </w:r>
    </w:p>
  </w:footnote>
  <w:footnote w:type="continuationSeparator" w:id="0">
    <w:p w14:paraId="2D18FB87" w14:textId="77777777" w:rsidR="00433930" w:rsidRDefault="00433930" w:rsidP="004339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E420" w14:textId="77777777" w:rsidR="00433930" w:rsidRDefault="00433930" w:rsidP="00433930">
    <w:pPr>
      <w:pStyle w:val="Header"/>
      <w:jc w:val="center"/>
    </w:pPr>
    <w:r w:rsidRPr="00180B0D">
      <w:rPr>
        <w:noProof/>
      </w:rPr>
      <w:drawing>
        <wp:inline distT="0" distB="0" distL="0" distR="0" wp14:anchorId="1C1397DC" wp14:editId="36B585E0">
          <wp:extent cx="3397469" cy="1510630"/>
          <wp:effectExtent l="0" t="0" r="0" b="0"/>
          <wp:docPr id="2" name="Picture 2" descr="C:\Users\AustinS\AppData\Local\Temp\Temp1_MSWord_Use (1).zip\MSWord_Use\Logo_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stinS\AppData\Local\Temp\Temp1_MSWord_Use (1).zip\MSWord_Use\Logo__Standar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17777" cy="15196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56911"/>
    <w:multiLevelType w:val="hybridMultilevel"/>
    <w:tmpl w:val="F32CA490"/>
    <w:lvl w:ilvl="0" w:tplc="3B6A9EF6">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5217D2"/>
    <w:multiLevelType w:val="hybridMultilevel"/>
    <w:tmpl w:val="2F9E3F1C"/>
    <w:lvl w:ilvl="0" w:tplc="3B6A9EF6">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05F09"/>
    <w:multiLevelType w:val="hybridMultilevel"/>
    <w:tmpl w:val="93A0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B13BAD"/>
    <w:multiLevelType w:val="hybridMultilevel"/>
    <w:tmpl w:val="55A8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A04F9F"/>
    <w:multiLevelType w:val="hybridMultilevel"/>
    <w:tmpl w:val="A8FC53C4"/>
    <w:lvl w:ilvl="0" w:tplc="04090001">
      <w:start w:val="1"/>
      <w:numFmt w:val="bullet"/>
      <w:lvlText w:val=""/>
      <w:lvlJc w:val="left"/>
      <w:pPr>
        <w:ind w:left="1470" w:hanging="360"/>
      </w:pPr>
      <w:rPr>
        <w:rFonts w:ascii="Symbol" w:hAnsi="Symbol"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5" w15:restartNumberingAfterBreak="0">
    <w:nsid w:val="5EE54062"/>
    <w:multiLevelType w:val="hybridMultilevel"/>
    <w:tmpl w:val="6FE04B14"/>
    <w:lvl w:ilvl="0" w:tplc="598E1BCA">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6" w15:restartNumberingAfterBreak="0">
    <w:nsid w:val="5EEB1662"/>
    <w:multiLevelType w:val="hybridMultilevel"/>
    <w:tmpl w:val="C4A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F5754B"/>
    <w:multiLevelType w:val="singleLevel"/>
    <w:tmpl w:val="EB328A60"/>
    <w:lvl w:ilvl="0">
      <w:start w:val="1"/>
      <w:numFmt w:val="bullet"/>
      <w:lvlText w:val=""/>
      <w:lvlJc w:val="left"/>
      <w:pPr>
        <w:tabs>
          <w:tab w:val="num" w:pos="360"/>
        </w:tabs>
        <w:ind w:left="360" w:hanging="360"/>
      </w:pPr>
      <w:rPr>
        <w:rFonts w:ascii="Symbol" w:hAnsi="Symbol" w:hint="default"/>
        <w:sz w:val="20"/>
        <w:szCs w:val="20"/>
      </w:rPr>
    </w:lvl>
  </w:abstractNum>
  <w:abstractNum w:abstractNumId="8" w15:restartNumberingAfterBreak="0">
    <w:nsid w:val="65F662CA"/>
    <w:multiLevelType w:val="hybridMultilevel"/>
    <w:tmpl w:val="A7F638FA"/>
    <w:lvl w:ilvl="0" w:tplc="3B6A9EF6">
      <w:start w:val="1"/>
      <w:numFmt w:val="bullet"/>
      <w:lvlText w:val=""/>
      <w:lvlJc w:val="left"/>
      <w:pPr>
        <w:ind w:left="790" w:hanging="360"/>
      </w:pPr>
      <w:rPr>
        <w:rFonts w:ascii="Symbol" w:hAnsi="Symbol" w:hint="default"/>
        <w:color w:val="auto"/>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9" w15:restartNumberingAfterBreak="0">
    <w:nsid w:val="6C4F6EA8"/>
    <w:multiLevelType w:val="hybridMultilevel"/>
    <w:tmpl w:val="C7489A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F33178F"/>
    <w:multiLevelType w:val="hybridMultilevel"/>
    <w:tmpl w:val="FB10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5"/>
  </w:num>
  <w:num w:numId="5">
    <w:abstractNumId w:val="8"/>
  </w:num>
  <w:num w:numId="6">
    <w:abstractNumId w:val="0"/>
  </w:num>
  <w:num w:numId="7">
    <w:abstractNumId w:val="1"/>
  </w:num>
  <w:num w:numId="8">
    <w:abstractNumId w:val="10"/>
  </w:num>
  <w:num w:numId="9">
    <w:abstractNumId w:val="4"/>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930"/>
    <w:rsid w:val="00035338"/>
    <w:rsid w:val="00057C1B"/>
    <w:rsid w:val="00060174"/>
    <w:rsid w:val="000D7637"/>
    <w:rsid w:val="0011729F"/>
    <w:rsid w:val="00143D59"/>
    <w:rsid w:val="00155101"/>
    <w:rsid w:val="001D3367"/>
    <w:rsid w:val="001E09E0"/>
    <w:rsid w:val="001E6E2B"/>
    <w:rsid w:val="00201D0E"/>
    <w:rsid w:val="00206C52"/>
    <w:rsid w:val="00243787"/>
    <w:rsid w:val="00263F04"/>
    <w:rsid w:val="0028491D"/>
    <w:rsid w:val="0033664A"/>
    <w:rsid w:val="00350236"/>
    <w:rsid w:val="00371DE3"/>
    <w:rsid w:val="003E739D"/>
    <w:rsid w:val="00433930"/>
    <w:rsid w:val="0053209B"/>
    <w:rsid w:val="00542749"/>
    <w:rsid w:val="00571D1C"/>
    <w:rsid w:val="00591A7D"/>
    <w:rsid w:val="005B310E"/>
    <w:rsid w:val="005D1002"/>
    <w:rsid w:val="00642C0C"/>
    <w:rsid w:val="00667A63"/>
    <w:rsid w:val="00682CCA"/>
    <w:rsid w:val="006E4344"/>
    <w:rsid w:val="006F6CF7"/>
    <w:rsid w:val="00727FD1"/>
    <w:rsid w:val="007304B1"/>
    <w:rsid w:val="00745E54"/>
    <w:rsid w:val="0074709E"/>
    <w:rsid w:val="00766925"/>
    <w:rsid w:val="007B6EAA"/>
    <w:rsid w:val="00872B83"/>
    <w:rsid w:val="009407CA"/>
    <w:rsid w:val="00965411"/>
    <w:rsid w:val="009722A6"/>
    <w:rsid w:val="0098791B"/>
    <w:rsid w:val="009A02E7"/>
    <w:rsid w:val="009F4621"/>
    <w:rsid w:val="00AB5110"/>
    <w:rsid w:val="00AF3B0B"/>
    <w:rsid w:val="00B527A4"/>
    <w:rsid w:val="00B5530E"/>
    <w:rsid w:val="00B82673"/>
    <w:rsid w:val="00BA021A"/>
    <w:rsid w:val="00BA0763"/>
    <w:rsid w:val="00BB5C28"/>
    <w:rsid w:val="00BC73A7"/>
    <w:rsid w:val="00BC7B6A"/>
    <w:rsid w:val="00BF424B"/>
    <w:rsid w:val="00C24D3E"/>
    <w:rsid w:val="00C30FDC"/>
    <w:rsid w:val="00C437E5"/>
    <w:rsid w:val="00C85445"/>
    <w:rsid w:val="00CB2C9A"/>
    <w:rsid w:val="00CD1074"/>
    <w:rsid w:val="00CE6D96"/>
    <w:rsid w:val="00CF3731"/>
    <w:rsid w:val="00D16B55"/>
    <w:rsid w:val="00D74F75"/>
    <w:rsid w:val="00D773BF"/>
    <w:rsid w:val="00DF3E78"/>
    <w:rsid w:val="00DF4675"/>
    <w:rsid w:val="00E76219"/>
    <w:rsid w:val="00EA500B"/>
    <w:rsid w:val="00EC1B76"/>
    <w:rsid w:val="00EC6366"/>
    <w:rsid w:val="00EF1F02"/>
    <w:rsid w:val="00EF42E0"/>
    <w:rsid w:val="00EF5531"/>
    <w:rsid w:val="00F32D39"/>
    <w:rsid w:val="00F379CC"/>
    <w:rsid w:val="00F40893"/>
    <w:rsid w:val="00F42ECE"/>
    <w:rsid w:val="00FD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3154FA5"/>
  <w15:chartTrackingRefBased/>
  <w15:docId w15:val="{686DEFB6-83E9-4C64-85B4-13B8F6997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9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930"/>
  </w:style>
  <w:style w:type="paragraph" w:styleId="Footer">
    <w:name w:val="footer"/>
    <w:basedOn w:val="Normal"/>
    <w:link w:val="FooterChar"/>
    <w:unhideWhenUsed/>
    <w:rsid w:val="004339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930"/>
  </w:style>
  <w:style w:type="paragraph" w:customStyle="1" w:styleId="ColorfulList-Accent11">
    <w:name w:val="Colorful List - Accent 11"/>
    <w:basedOn w:val="Normal"/>
    <w:qFormat/>
    <w:rsid w:val="00433930"/>
    <w:pPr>
      <w:spacing w:after="0" w:line="240" w:lineRule="auto"/>
      <w:ind w:left="720"/>
    </w:pPr>
    <w:rPr>
      <w:rFonts w:ascii="Cambria" w:eastAsia="Times New Roman" w:hAnsi="Cambria" w:cs="Times New Roman"/>
      <w:sz w:val="24"/>
      <w:szCs w:val="24"/>
    </w:rPr>
  </w:style>
  <w:style w:type="character" w:styleId="Hyperlink">
    <w:name w:val="Hyperlink"/>
    <w:basedOn w:val="DefaultParagraphFont"/>
    <w:unhideWhenUsed/>
    <w:rsid w:val="00433930"/>
    <w:rPr>
      <w:color w:val="0563C1" w:themeColor="hyperlink"/>
      <w:u w:val="single"/>
    </w:rPr>
  </w:style>
  <w:style w:type="paragraph" w:styleId="ListParagraph">
    <w:name w:val="List Paragraph"/>
    <w:basedOn w:val="Normal"/>
    <w:uiPriority w:val="34"/>
    <w:qFormat/>
    <w:rsid w:val="00433930"/>
    <w:pPr>
      <w:ind w:left="720"/>
      <w:contextualSpacing/>
    </w:pPr>
  </w:style>
  <w:style w:type="paragraph" w:styleId="BodyTextIndent2">
    <w:name w:val="Body Text Indent 2"/>
    <w:basedOn w:val="Normal"/>
    <w:link w:val="BodyTextIndent2Char"/>
    <w:rsid w:val="006F6CF7"/>
    <w:pPr>
      <w:spacing w:after="0" w:line="240" w:lineRule="auto"/>
      <w:ind w:left="1080"/>
    </w:pPr>
    <w:rPr>
      <w:rFonts w:ascii="Comic Sans MS" w:eastAsia="Times New Roman" w:hAnsi="Comic Sans MS" w:cs="Times New Roman"/>
      <w:sz w:val="24"/>
      <w:szCs w:val="20"/>
    </w:rPr>
  </w:style>
  <w:style w:type="character" w:customStyle="1" w:styleId="BodyTextIndent2Char">
    <w:name w:val="Body Text Indent 2 Char"/>
    <w:basedOn w:val="DefaultParagraphFont"/>
    <w:link w:val="BodyTextIndent2"/>
    <w:rsid w:val="006F6CF7"/>
    <w:rPr>
      <w:rFonts w:ascii="Comic Sans MS" w:eastAsia="Times New Roman" w:hAnsi="Comic Sans MS" w:cs="Times New Roman"/>
      <w:sz w:val="24"/>
      <w:szCs w:val="20"/>
    </w:rPr>
  </w:style>
  <w:style w:type="table" w:styleId="TableGrid">
    <w:name w:val="Table Grid"/>
    <w:basedOn w:val="TableNormal"/>
    <w:rsid w:val="00B8267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D3367"/>
    <w:rPr>
      <w:color w:val="954F72" w:themeColor="followedHyperlink"/>
      <w:u w:val="single"/>
    </w:rPr>
  </w:style>
  <w:style w:type="character" w:styleId="CommentReference">
    <w:name w:val="annotation reference"/>
    <w:basedOn w:val="DefaultParagraphFont"/>
    <w:uiPriority w:val="99"/>
    <w:semiHidden/>
    <w:unhideWhenUsed/>
    <w:rsid w:val="00E76219"/>
    <w:rPr>
      <w:sz w:val="16"/>
      <w:szCs w:val="16"/>
    </w:rPr>
  </w:style>
  <w:style w:type="paragraph" w:styleId="CommentText">
    <w:name w:val="annotation text"/>
    <w:basedOn w:val="Normal"/>
    <w:link w:val="CommentTextChar"/>
    <w:uiPriority w:val="99"/>
    <w:semiHidden/>
    <w:unhideWhenUsed/>
    <w:rsid w:val="00E76219"/>
    <w:pPr>
      <w:spacing w:line="240" w:lineRule="auto"/>
    </w:pPr>
    <w:rPr>
      <w:sz w:val="20"/>
      <w:szCs w:val="20"/>
    </w:rPr>
  </w:style>
  <w:style w:type="character" w:customStyle="1" w:styleId="CommentTextChar">
    <w:name w:val="Comment Text Char"/>
    <w:basedOn w:val="DefaultParagraphFont"/>
    <w:link w:val="CommentText"/>
    <w:uiPriority w:val="99"/>
    <w:semiHidden/>
    <w:rsid w:val="00E76219"/>
    <w:rPr>
      <w:sz w:val="20"/>
      <w:szCs w:val="20"/>
    </w:rPr>
  </w:style>
  <w:style w:type="paragraph" w:styleId="CommentSubject">
    <w:name w:val="annotation subject"/>
    <w:basedOn w:val="CommentText"/>
    <w:next w:val="CommentText"/>
    <w:link w:val="CommentSubjectChar"/>
    <w:uiPriority w:val="99"/>
    <w:semiHidden/>
    <w:unhideWhenUsed/>
    <w:rsid w:val="00E76219"/>
    <w:rPr>
      <w:b/>
      <w:bCs/>
    </w:rPr>
  </w:style>
  <w:style w:type="character" w:customStyle="1" w:styleId="CommentSubjectChar">
    <w:name w:val="Comment Subject Char"/>
    <w:basedOn w:val="CommentTextChar"/>
    <w:link w:val="CommentSubject"/>
    <w:uiPriority w:val="99"/>
    <w:semiHidden/>
    <w:rsid w:val="00E76219"/>
    <w:rPr>
      <w:b/>
      <w:bCs/>
      <w:sz w:val="20"/>
      <w:szCs w:val="20"/>
    </w:rPr>
  </w:style>
  <w:style w:type="paragraph" w:styleId="BalloonText">
    <w:name w:val="Balloon Text"/>
    <w:basedOn w:val="Normal"/>
    <w:link w:val="BalloonTextChar"/>
    <w:uiPriority w:val="99"/>
    <w:semiHidden/>
    <w:unhideWhenUsed/>
    <w:rsid w:val="00E76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219"/>
    <w:rPr>
      <w:rFonts w:ascii="Segoe UI" w:hAnsi="Segoe UI" w:cs="Segoe UI"/>
      <w:sz w:val="18"/>
      <w:szCs w:val="18"/>
    </w:rPr>
  </w:style>
  <w:style w:type="paragraph" w:styleId="FootnoteText">
    <w:name w:val="footnote text"/>
    <w:basedOn w:val="Normal"/>
    <w:link w:val="FootnoteTextChar"/>
    <w:uiPriority w:val="99"/>
    <w:semiHidden/>
    <w:unhideWhenUsed/>
    <w:rsid w:val="00591A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A7D"/>
    <w:rPr>
      <w:sz w:val="20"/>
      <w:szCs w:val="20"/>
    </w:rPr>
  </w:style>
  <w:style w:type="character" w:styleId="FootnoteReference">
    <w:name w:val="footnote reference"/>
    <w:basedOn w:val="DefaultParagraphFont"/>
    <w:uiPriority w:val="99"/>
    <w:semiHidden/>
    <w:unhideWhenUsed/>
    <w:rsid w:val="00591A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367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g.wa.gov/RCW/default.aspx?cite=19.405.1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eptofcommerce.app.box.com/file/1159460337791?s=qazu3yweu5w6udvnvw97qk5dwzop56p5" TargetMode="External"/><Relationship Id="rId4" Type="http://schemas.openxmlformats.org/officeDocument/2006/relationships/settings" Target="settings.xml"/><Relationship Id="rId9" Type="http://schemas.openxmlformats.org/officeDocument/2006/relationships/hyperlink" Target="http://lawfilesext.leg.wa.gov/biennium/2019-20/Pdf/Bills/Session%20Laws/Senate/5116-S2.SL.pdf?q=2021082216130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9E7AF-FA1F-4A6B-9B37-72F486128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Commerce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Scharff</dc:creator>
  <cp:keywords/>
  <dc:description/>
  <cp:lastModifiedBy>Scharff, Austin (COM)</cp:lastModifiedBy>
  <cp:revision>2</cp:revision>
  <cp:lastPrinted>2023-09-25T17:08:00Z</cp:lastPrinted>
  <dcterms:created xsi:type="dcterms:W3CDTF">2024-07-02T15:52:00Z</dcterms:created>
  <dcterms:modified xsi:type="dcterms:W3CDTF">2024-07-02T15:52:00Z</dcterms:modified>
</cp:coreProperties>
</file>